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40202">
      <w:pPr>
        <w:spacing w:line="56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附件4</w:t>
      </w:r>
    </w:p>
    <w:p w14:paraId="058EDEFB">
      <w:pPr>
        <w:spacing w:line="560" w:lineRule="exact"/>
        <w:jc w:val="center"/>
        <w:rPr>
          <w:rFonts w:ascii="Times New Roman" w:hAnsi="Times New Roman" w:eastAsia="仿宋_GB2312"/>
          <w:b/>
          <w:bCs/>
          <w:sz w:val="32"/>
          <w:szCs w:val="32"/>
        </w:rPr>
      </w:pPr>
    </w:p>
    <w:p w14:paraId="55A4F169"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信息通信网络终端维修员</w:t>
      </w:r>
    </w:p>
    <w:p w14:paraId="477F78A2"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（数据中心运行维护）竞赛大纲</w:t>
      </w:r>
    </w:p>
    <w:p w14:paraId="29FE34E5">
      <w:pPr>
        <w:spacing w:line="560" w:lineRule="exact"/>
        <w:jc w:val="center"/>
        <w:rPr>
          <w:rFonts w:ascii="Times New Roman" w:hAnsi="Times New Roman" w:eastAsia="仿宋_GB2312"/>
          <w:b/>
          <w:bCs/>
          <w:sz w:val="32"/>
          <w:szCs w:val="32"/>
        </w:rPr>
      </w:pPr>
    </w:p>
    <w:p w14:paraId="4F1C1498">
      <w:pPr>
        <w:spacing w:line="560" w:lineRule="exact"/>
        <w:ind w:firstLine="560"/>
        <w:rPr>
          <w:rFonts w:hint="eastAsia" w:ascii="Times New Roman" w:hAnsi="Times New Roman" w:eastAsia="黑体" w:cs="黑体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一、竞赛标准</w:t>
      </w:r>
    </w:p>
    <w:p w14:paraId="13B2F934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  <w:lang w:bidi="ar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本赛项以数据中心运行与维护为核心内容和工作基础，在互联网、云计算、人工智能、大数据、物联网应用等产业推动下，基于真实数据中心内信息通信设备的运行维护工作过程，根据工作任务书进行系统工程项目的设计，完成硬件设备安装与维护、软件环境安装部署与管理、运行监控管理、故障事件管理、运维规范管理、培训与指导等工作任务。</w:t>
      </w:r>
    </w:p>
    <w:p w14:paraId="08391EB2">
      <w:pPr>
        <w:spacing w:line="560" w:lineRule="exact"/>
        <w:ind w:firstLine="560"/>
        <w:rPr>
          <w:rFonts w:ascii="Times New Roman" w:hAnsi="Times New Roman" w:eastAsia="黑体" w:cs="黑体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二、</w:t>
      </w:r>
      <w:r>
        <w:rPr>
          <w:rFonts w:ascii="Times New Roman" w:hAnsi="Times New Roman" w:eastAsia="黑体" w:cs="黑体"/>
          <w:sz w:val="32"/>
          <w:szCs w:val="32"/>
          <w:lang w:bidi="ar"/>
        </w:rPr>
        <w:t>竞赛形式</w:t>
      </w:r>
    </w:p>
    <w:p w14:paraId="56B1FF41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  <w:lang w:bidi="ar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本赛项为单人赛，竞赛内容由理论知识竞赛和实际操作竞赛两部分组成，理论知识竞赛成绩占30%，实际操作竞赛成绩占70%。</w:t>
      </w:r>
    </w:p>
    <w:p w14:paraId="57762AB5">
      <w:pPr>
        <w:spacing w:line="560" w:lineRule="exact"/>
        <w:ind w:firstLine="560"/>
        <w:rPr>
          <w:rFonts w:ascii="Times New Roman" w:hAnsi="Times New Roman" w:eastAsia="黑体" w:cs="黑体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三、</w:t>
      </w:r>
      <w:r>
        <w:rPr>
          <w:rFonts w:ascii="Times New Roman" w:hAnsi="Times New Roman" w:eastAsia="黑体" w:cs="黑体"/>
          <w:sz w:val="32"/>
          <w:szCs w:val="32"/>
          <w:lang w:bidi="ar"/>
        </w:rPr>
        <w:t>理论知识竞赛</w:t>
      </w:r>
    </w:p>
    <w:p w14:paraId="07DA0A27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  <w:lang w:bidi="ar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理论知识考核内容主要包括数据中心运行与维护基础知识、安全操作规范、数据中心网络设计与搭建知识、数据中心服务器及存储硬件知识、服务器操作系统及企业应用环境知识，虚拟化环境部署与应用知识、故障排除与运行维护知识等。</w:t>
      </w:r>
    </w:p>
    <w:p w14:paraId="61372A72">
      <w:pPr>
        <w:spacing w:line="560" w:lineRule="exact"/>
        <w:ind w:firstLine="560"/>
        <w:rPr>
          <w:rFonts w:ascii="Times New Roman" w:hAnsi="Times New Roman" w:eastAsia="黑体" w:cs="黑体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四、</w:t>
      </w:r>
      <w:r>
        <w:rPr>
          <w:rFonts w:ascii="Times New Roman" w:hAnsi="Times New Roman" w:eastAsia="黑体" w:cs="黑体"/>
          <w:sz w:val="32"/>
          <w:szCs w:val="32"/>
          <w:lang w:bidi="ar"/>
        </w:rPr>
        <w:t>实际操作竞赛</w:t>
      </w:r>
    </w:p>
    <w:p w14:paraId="1D75B644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  <w:lang w:bidi="ar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实操考核涵盖数据中心基础设施搭建与配置、数据中心环境部署与配置、数据中心集中监控部署与管理、数据中心故障排除与运行维护等。主要考核模块如下：</w:t>
      </w:r>
    </w:p>
    <w:tbl>
      <w:tblPr>
        <w:tblStyle w:val="2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8"/>
        <w:gridCol w:w="4726"/>
      </w:tblGrid>
      <w:tr w14:paraId="00A7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786" w:type="dxa"/>
            <w:noWrap w:val="0"/>
            <w:vAlign w:val="center"/>
          </w:tcPr>
          <w:p w14:paraId="1FAC0415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F1115"/>
                <w:sz w:val="24"/>
                <w:szCs w:val="24"/>
                <w:shd w:val="clear" w:color="auto" w:fill="FFFFFF"/>
                <w:lang w:bidi="ar"/>
              </w:rPr>
              <w:t>竞赛模块</w:t>
            </w:r>
          </w:p>
        </w:tc>
        <w:tc>
          <w:tcPr>
            <w:tcW w:w="4736" w:type="dxa"/>
            <w:noWrap w:val="0"/>
            <w:vAlign w:val="center"/>
          </w:tcPr>
          <w:p w14:paraId="62EEB717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F1115"/>
                <w:sz w:val="24"/>
                <w:szCs w:val="24"/>
                <w:shd w:val="clear" w:color="auto" w:fill="FFFFFF"/>
                <w:lang w:bidi="ar"/>
              </w:rPr>
              <w:t>主要知识技能点</w:t>
            </w:r>
          </w:p>
        </w:tc>
      </w:tr>
      <w:tr w14:paraId="7BDA7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restart"/>
            <w:noWrap w:val="0"/>
            <w:vAlign w:val="center"/>
          </w:tcPr>
          <w:p w14:paraId="4FB09CDD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数据中心基础设施搭建与配置</w:t>
            </w:r>
          </w:p>
        </w:tc>
        <w:tc>
          <w:tcPr>
            <w:tcW w:w="4736" w:type="dxa"/>
            <w:noWrap w:val="0"/>
            <w:vAlign w:val="center"/>
          </w:tcPr>
          <w:p w14:paraId="129998F8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计算机/服务器/网络设备安装</w:t>
            </w:r>
          </w:p>
        </w:tc>
      </w:tr>
      <w:tr w14:paraId="78FF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continue"/>
            <w:noWrap w:val="0"/>
            <w:vAlign w:val="center"/>
          </w:tcPr>
          <w:p w14:paraId="195287B1">
            <w:pP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736" w:type="dxa"/>
            <w:noWrap w:val="0"/>
            <w:vAlign w:val="center"/>
          </w:tcPr>
          <w:p w14:paraId="08ED23EB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数据中心各设备网络互联互通</w:t>
            </w:r>
          </w:p>
        </w:tc>
      </w:tr>
      <w:tr w14:paraId="7901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continue"/>
            <w:noWrap w:val="0"/>
            <w:vAlign w:val="center"/>
          </w:tcPr>
          <w:p w14:paraId="7F905247">
            <w:pP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736" w:type="dxa"/>
            <w:noWrap w:val="0"/>
            <w:vAlign w:val="center"/>
          </w:tcPr>
          <w:p w14:paraId="44827819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服务器/存储设备初始化</w:t>
            </w:r>
          </w:p>
        </w:tc>
      </w:tr>
      <w:tr w14:paraId="4890E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restart"/>
            <w:noWrap w:val="0"/>
            <w:vAlign w:val="center"/>
          </w:tcPr>
          <w:p w14:paraId="3A80128F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数据中心环境部署与配置</w:t>
            </w:r>
          </w:p>
        </w:tc>
        <w:tc>
          <w:tcPr>
            <w:tcW w:w="4736" w:type="dxa"/>
            <w:noWrap w:val="0"/>
            <w:vAlign w:val="center"/>
          </w:tcPr>
          <w:p w14:paraId="4DFA6634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数据中心网络基础服务部署及配置</w:t>
            </w:r>
          </w:p>
        </w:tc>
      </w:tr>
      <w:tr w14:paraId="4E61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continue"/>
            <w:noWrap w:val="0"/>
            <w:vAlign w:val="center"/>
          </w:tcPr>
          <w:p w14:paraId="4FBFC21E">
            <w:pP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736" w:type="dxa"/>
            <w:noWrap w:val="0"/>
            <w:vAlign w:val="center"/>
          </w:tcPr>
          <w:p w14:paraId="79C16587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企业级操作系统/虚拟化平台/云计算平台部署及配置</w:t>
            </w:r>
          </w:p>
        </w:tc>
      </w:tr>
      <w:tr w14:paraId="41434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continue"/>
            <w:noWrap w:val="0"/>
            <w:vAlign w:val="center"/>
          </w:tcPr>
          <w:p w14:paraId="533CD064">
            <w:pP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736" w:type="dxa"/>
            <w:noWrap w:val="0"/>
            <w:vAlign w:val="center"/>
          </w:tcPr>
          <w:p w14:paraId="29CE1182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数据库/中间件/企业应用系统部署及配置</w:t>
            </w:r>
          </w:p>
        </w:tc>
      </w:tr>
      <w:tr w14:paraId="3A8F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restart"/>
            <w:noWrap w:val="0"/>
            <w:vAlign w:val="center"/>
          </w:tcPr>
          <w:p w14:paraId="1CE9BFE0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数据中心集中监控部署与管理</w:t>
            </w:r>
          </w:p>
        </w:tc>
        <w:tc>
          <w:tcPr>
            <w:tcW w:w="4736" w:type="dxa"/>
            <w:noWrap w:val="0"/>
            <w:vAlign w:val="center"/>
          </w:tcPr>
          <w:p w14:paraId="2ECA1ED0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数据中心监控系统/运维系统/日志管理工具等部署</w:t>
            </w:r>
          </w:p>
        </w:tc>
      </w:tr>
      <w:tr w14:paraId="0465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continue"/>
            <w:noWrap w:val="0"/>
            <w:vAlign w:val="center"/>
          </w:tcPr>
          <w:p w14:paraId="3B0EA2B3">
            <w:pP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736" w:type="dxa"/>
            <w:noWrap w:val="0"/>
            <w:vAlign w:val="center"/>
          </w:tcPr>
          <w:p w14:paraId="4E820B35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数据中心硬件设备/虚拟化平台/存储设备/业务系统等资产监控与管理</w:t>
            </w:r>
          </w:p>
        </w:tc>
      </w:tr>
      <w:tr w14:paraId="5FC9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restart"/>
            <w:noWrap w:val="0"/>
            <w:vAlign w:val="center"/>
          </w:tcPr>
          <w:p w14:paraId="72B73FF9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数据中心故障排除与维护</w:t>
            </w:r>
          </w:p>
        </w:tc>
        <w:tc>
          <w:tcPr>
            <w:tcW w:w="4736" w:type="dxa"/>
            <w:noWrap w:val="0"/>
            <w:vAlign w:val="center"/>
          </w:tcPr>
          <w:p w14:paraId="7B437CC7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系统异常监控/日志管理</w:t>
            </w:r>
          </w:p>
        </w:tc>
      </w:tr>
      <w:tr w14:paraId="7CEBD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continue"/>
            <w:noWrap w:val="0"/>
            <w:vAlign w:val="center"/>
          </w:tcPr>
          <w:p w14:paraId="7948B07B">
            <w:pP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736" w:type="dxa"/>
            <w:noWrap w:val="0"/>
            <w:vAlign w:val="center"/>
          </w:tcPr>
          <w:p w14:paraId="5D5E65C6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系统故障排除</w:t>
            </w:r>
          </w:p>
        </w:tc>
      </w:tr>
      <w:tr w14:paraId="196A4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continue"/>
            <w:noWrap w:val="0"/>
            <w:vAlign w:val="center"/>
          </w:tcPr>
          <w:p w14:paraId="770F926D">
            <w:pP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736" w:type="dxa"/>
            <w:noWrap w:val="0"/>
            <w:vAlign w:val="center"/>
          </w:tcPr>
          <w:p w14:paraId="5B62AD25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集群化管理脚本编写</w:t>
            </w:r>
          </w:p>
        </w:tc>
      </w:tr>
      <w:tr w14:paraId="5DA85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86" w:type="dxa"/>
            <w:vMerge w:val="continue"/>
            <w:noWrap w:val="0"/>
            <w:vAlign w:val="center"/>
          </w:tcPr>
          <w:p w14:paraId="126253EE">
            <w:pP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736" w:type="dxa"/>
            <w:noWrap w:val="0"/>
            <w:vAlign w:val="center"/>
          </w:tcPr>
          <w:p w14:paraId="7F36A58F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F1115"/>
                <w:sz w:val="24"/>
                <w:szCs w:val="24"/>
                <w:shd w:val="clear" w:color="auto" w:fill="FFFFFF"/>
                <w:lang w:bidi="ar"/>
              </w:rPr>
              <w:t>自动化运维脚本编写</w:t>
            </w:r>
          </w:p>
        </w:tc>
      </w:tr>
    </w:tbl>
    <w:p w14:paraId="33508814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 w14:paraId="741613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CE5239-93C4-4C0F-A5D5-3C7E3E259D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B6935AA-1CA5-41B2-9D8E-DBE478CC60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ABCF633-D944-42EA-A7A9-C2FB94E976A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E0E253A-9DED-4ECF-AF80-4CFE86C690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5443E1"/>
    <w:rsid w:val="3554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2026-08-05T01:32:00Z</dcterms:created>
  <dc:creator>SY-WeiChen</dc:creator>
  <cp:lastModifiedBy>SY-WeiChen</cp:lastModifiedBy>
  <dcterms:modified xsi:type="dcterms:W3CDTF">2026-08-05T01:32:28Z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571702A798644849B46FECEA4C1B098F_11</vt:lpwstr>
  </property>
  <property fmtid="{D5CDD505-2E9C-101B-9397-08002B2CF9AE}" pid="4" name="KSOTemplateDocerSaveRecord">
    <vt:lpwstr>eyJoZGlkIjoiYmE4NGY5YjQ4YWE0OTQxMzg5YzE0OTQwOTY1YWVhMDIiLCJ1c2VySWQiOiIxMTk5NTAxMTkzIn0=</vt:lpwstr>
  </property>
</Properties>
</file>