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EF6AB">
      <w:pPr>
        <w:spacing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附件5</w:t>
      </w:r>
    </w:p>
    <w:p w14:paraId="0F164FDD">
      <w:pPr>
        <w:spacing w:line="560" w:lineRule="exact"/>
        <w:rPr>
          <w:rFonts w:hint="eastAsia" w:ascii="Times New Roman" w:hAnsi="Times New Roman" w:eastAsia="仿宋_GB2312"/>
          <w:b/>
          <w:bCs/>
          <w:sz w:val="32"/>
          <w:szCs w:val="32"/>
        </w:rPr>
      </w:pPr>
    </w:p>
    <w:p w14:paraId="08AF2F5F">
      <w:pPr>
        <w:spacing w:line="560" w:lineRule="exact"/>
        <w:jc w:val="center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信息通信信息化系统管理员</w:t>
      </w:r>
    </w:p>
    <w:p w14:paraId="37610F02">
      <w:pPr>
        <w:spacing w:line="560" w:lineRule="exact"/>
        <w:jc w:val="center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（人工智能应用）竞赛大纲</w:t>
      </w:r>
    </w:p>
    <w:p w14:paraId="75C462DE">
      <w:pPr>
        <w:spacing w:line="560" w:lineRule="exact"/>
        <w:rPr>
          <w:rFonts w:ascii="Times New Roman" w:hAnsi="Times New Roman" w:eastAsia="仿宋_GB2312"/>
          <w:b/>
          <w:bCs/>
          <w:sz w:val="32"/>
          <w:szCs w:val="32"/>
        </w:rPr>
      </w:pPr>
    </w:p>
    <w:p w14:paraId="5F68E62C">
      <w:pPr>
        <w:spacing w:line="560" w:lineRule="exact"/>
        <w:ind w:firstLine="560"/>
        <w:rPr>
          <w:rFonts w:hint="eastAsia" w:ascii="Times New Roman" w:hAnsi="Times New Roman" w:eastAsia="黑体" w:cs="黑体"/>
          <w:sz w:val="32"/>
          <w:szCs w:val="32"/>
          <w:lang w:bidi="ar"/>
        </w:rPr>
      </w:pPr>
      <w:r>
        <w:rPr>
          <w:rFonts w:hint="eastAsia" w:ascii="Times New Roman" w:hAnsi="Times New Roman" w:eastAsia="黑体" w:cs="黑体"/>
          <w:sz w:val="32"/>
          <w:szCs w:val="32"/>
          <w:lang w:bidi="ar"/>
        </w:rPr>
        <w:t>一、竞赛标准</w:t>
      </w:r>
    </w:p>
    <w:p w14:paraId="45E6EFFA">
      <w:pPr>
        <w:spacing w:line="560" w:lineRule="exact"/>
        <w:ind w:firstLine="560"/>
        <w:rPr>
          <w:rFonts w:ascii="Times New Roman" w:hAnsi="Times New Roman" w:eastAsia="仿宋_GB2312"/>
          <w:sz w:val="32"/>
          <w:szCs w:val="32"/>
          <w:lang w:bidi="ar"/>
        </w:rPr>
      </w:pPr>
      <w:r>
        <w:rPr>
          <w:rFonts w:ascii="Times New Roman" w:hAnsi="Times New Roman" w:eastAsia="仿宋_GB2312"/>
          <w:sz w:val="32"/>
          <w:szCs w:val="32"/>
          <w:lang w:bidi="ar"/>
        </w:rPr>
        <w:t>赛项以人工智能技术为核心内容和工作基础，依据人工智能行业技术规范与项目实施标准，围绕数据采集与预处理、数据可视化、模型训练与调优、算法应用与集成、性能评估与优化等核心环节，在智能制造行业典型人工智能应用场景中，实现完整的、面向实际业务需求的技术解决方案的竞赛项目。</w:t>
      </w:r>
    </w:p>
    <w:p w14:paraId="264FF7A0">
      <w:pPr>
        <w:spacing w:line="560" w:lineRule="exact"/>
        <w:ind w:firstLine="560"/>
        <w:rPr>
          <w:rFonts w:ascii="Times New Roman" w:hAnsi="Times New Roman" w:eastAsia="黑体" w:cs="黑体"/>
          <w:sz w:val="32"/>
          <w:szCs w:val="32"/>
          <w:lang w:bidi="ar"/>
        </w:rPr>
      </w:pPr>
      <w:r>
        <w:rPr>
          <w:rFonts w:hint="eastAsia" w:ascii="Times New Roman" w:hAnsi="Times New Roman" w:eastAsia="黑体" w:cs="黑体"/>
          <w:sz w:val="32"/>
          <w:szCs w:val="32"/>
          <w:lang w:bidi="ar"/>
        </w:rPr>
        <w:t>二、</w:t>
      </w:r>
      <w:r>
        <w:rPr>
          <w:rFonts w:ascii="Times New Roman" w:hAnsi="Times New Roman" w:eastAsia="黑体" w:cs="黑体"/>
          <w:sz w:val="32"/>
          <w:szCs w:val="32"/>
          <w:lang w:bidi="ar"/>
        </w:rPr>
        <w:t>竞赛形式</w:t>
      </w:r>
    </w:p>
    <w:p w14:paraId="0347BD03">
      <w:pPr>
        <w:spacing w:line="560" w:lineRule="exact"/>
        <w:ind w:firstLine="560"/>
        <w:rPr>
          <w:rFonts w:ascii="Times New Roman" w:hAnsi="Times New Roman" w:eastAsia="仿宋_GB2312"/>
          <w:sz w:val="32"/>
          <w:szCs w:val="32"/>
          <w:lang w:bidi="ar"/>
        </w:rPr>
      </w:pPr>
      <w:r>
        <w:rPr>
          <w:rFonts w:ascii="Times New Roman" w:hAnsi="Times New Roman" w:eastAsia="仿宋_GB2312"/>
          <w:sz w:val="32"/>
          <w:szCs w:val="32"/>
          <w:lang w:bidi="ar"/>
        </w:rPr>
        <w:t>本赛项为单人赛，竞赛内容由理论知识竞赛和实际操作竞赛两部分组成，理论知识竞赛成绩占30%，实际操作竞赛成绩占70%。</w:t>
      </w:r>
    </w:p>
    <w:p w14:paraId="32756DDB">
      <w:pPr>
        <w:spacing w:line="560" w:lineRule="exact"/>
        <w:ind w:firstLine="560"/>
        <w:rPr>
          <w:rFonts w:ascii="Times New Roman" w:hAnsi="Times New Roman" w:eastAsia="黑体" w:cs="黑体"/>
          <w:sz w:val="32"/>
          <w:szCs w:val="32"/>
          <w:lang w:bidi="ar"/>
        </w:rPr>
      </w:pPr>
      <w:r>
        <w:rPr>
          <w:rFonts w:hint="eastAsia" w:ascii="Times New Roman" w:hAnsi="Times New Roman" w:eastAsia="黑体" w:cs="黑体"/>
          <w:sz w:val="32"/>
          <w:szCs w:val="32"/>
          <w:lang w:bidi="ar"/>
        </w:rPr>
        <w:t>三、</w:t>
      </w:r>
      <w:r>
        <w:rPr>
          <w:rFonts w:ascii="Times New Roman" w:hAnsi="Times New Roman" w:eastAsia="黑体" w:cs="黑体"/>
          <w:sz w:val="32"/>
          <w:szCs w:val="32"/>
          <w:lang w:bidi="ar"/>
        </w:rPr>
        <w:t>理论知识竞赛</w:t>
      </w:r>
    </w:p>
    <w:p w14:paraId="3DA04F6D">
      <w:pPr>
        <w:spacing w:line="560" w:lineRule="exact"/>
        <w:ind w:firstLine="560"/>
        <w:rPr>
          <w:rFonts w:ascii="Times New Roman" w:hAnsi="Times New Roman" w:eastAsia="仿宋_GB2312"/>
          <w:sz w:val="32"/>
          <w:szCs w:val="32"/>
          <w:lang w:bidi="ar"/>
        </w:rPr>
      </w:pPr>
      <w:r>
        <w:rPr>
          <w:rFonts w:ascii="Times New Roman" w:hAnsi="Times New Roman" w:eastAsia="仿宋_GB2312"/>
          <w:sz w:val="32"/>
          <w:szCs w:val="32"/>
          <w:lang w:bidi="ar"/>
        </w:rPr>
        <w:t>理论知识竞赛内容主要包括人工智能技术应用基础知识、开发平台搭建与环境配置知识、数据采集/数据预处理和数据可视化知识、人工智能模型构建与训练知识、模型调优、性能评估及部署知识等。</w:t>
      </w:r>
    </w:p>
    <w:p w14:paraId="0CDA49C8">
      <w:pPr>
        <w:spacing w:line="560" w:lineRule="exact"/>
        <w:ind w:firstLine="560"/>
        <w:rPr>
          <w:rFonts w:ascii="Times New Roman" w:hAnsi="Times New Roman" w:eastAsia="黑体" w:cs="黑体"/>
          <w:sz w:val="32"/>
          <w:szCs w:val="32"/>
          <w:lang w:bidi="ar"/>
        </w:rPr>
      </w:pPr>
      <w:r>
        <w:rPr>
          <w:rFonts w:hint="eastAsia" w:ascii="Times New Roman" w:hAnsi="Times New Roman" w:eastAsia="黑体" w:cs="黑体"/>
          <w:sz w:val="32"/>
          <w:szCs w:val="32"/>
          <w:lang w:bidi="ar"/>
        </w:rPr>
        <w:t>四、</w:t>
      </w:r>
      <w:r>
        <w:rPr>
          <w:rFonts w:ascii="Times New Roman" w:hAnsi="Times New Roman" w:eastAsia="黑体" w:cs="黑体"/>
          <w:sz w:val="32"/>
          <w:szCs w:val="32"/>
          <w:lang w:bidi="ar"/>
        </w:rPr>
        <w:t>实际操作竞赛</w:t>
      </w:r>
    </w:p>
    <w:p w14:paraId="0C6000A7">
      <w:pPr>
        <w:spacing w:line="560" w:lineRule="exact"/>
        <w:ind w:firstLine="560"/>
        <w:rPr>
          <w:rFonts w:hint="eastAsia" w:ascii="Times New Roman" w:hAnsi="Times New Roman" w:eastAsia="仿宋" w:cs="仿宋"/>
          <w:snapToGrid w:val="0"/>
          <w:color w:val="000000"/>
          <w:kern w:val="0"/>
          <w:sz w:val="28"/>
          <w:szCs w:val="28"/>
          <w:lang w:eastAsia="en-US"/>
        </w:rPr>
      </w:pPr>
      <w:r>
        <w:rPr>
          <w:rFonts w:ascii="Times New Roman" w:hAnsi="Times New Roman" w:eastAsia="仿宋_GB2312"/>
          <w:sz w:val="32"/>
          <w:szCs w:val="32"/>
          <w:lang w:bidi="ar"/>
        </w:rPr>
        <w:t>实操考核涵盖AI开发平台搭建与配置、数据工程与特征处理、模型训练与调优、AI应用集成与性能评估等。主要考核模块如下：</w:t>
      </w:r>
    </w:p>
    <w:tbl>
      <w:tblPr>
        <w:tblStyle w:val="2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4"/>
        <w:gridCol w:w="4010"/>
      </w:tblGrid>
      <w:tr w14:paraId="50B12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494" w:type="dxa"/>
            <w:noWrap w:val="0"/>
            <w:vAlign w:val="center"/>
          </w:tcPr>
          <w:p w14:paraId="4E20AE4F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仿宋_GB2312" w:cs="仿宋"/>
                <w:b/>
                <w:bCs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仿宋"/>
                <w:b/>
                <w:bCs/>
                <w:color w:val="0F1115"/>
                <w:sz w:val="24"/>
                <w:szCs w:val="24"/>
                <w:shd w:val="clear" w:color="auto" w:fill="FFFFFF"/>
                <w:lang w:bidi="ar"/>
              </w:rPr>
              <w:t>竞赛模块</w:t>
            </w:r>
          </w:p>
        </w:tc>
        <w:tc>
          <w:tcPr>
            <w:tcW w:w="4010" w:type="dxa"/>
            <w:noWrap w:val="0"/>
            <w:vAlign w:val="center"/>
          </w:tcPr>
          <w:p w14:paraId="58092B49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仿宋_GB2312" w:cs="仿宋"/>
                <w:b/>
                <w:bCs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仿宋"/>
                <w:b/>
                <w:bCs/>
                <w:color w:val="0F1115"/>
                <w:sz w:val="24"/>
                <w:szCs w:val="24"/>
                <w:shd w:val="clear" w:color="auto" w:fill="FFFFFF"/>
                <w:lang w:bidi="ar"/>
              </w:rPr>
              <w:t>主要知识技能点</w:t>
            </w:r>
          </w:p>
        </w:tc>
      </w:tr>
      <w:tr w14:paraId="68054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494" w:type="dxa"/>
            <w:vMerge w:val="restart"/>
            <w:noWrap w:val="0"/>
            <w:vAlign w:val="center"/>
          </w:tcPr>
          <w:p w14:paraId="03836432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AI开发平台搭建与配置</w:t>
            </w:r>
          </w:p>
        </w:tc>
        <w:tc>
          <w:tcPr>
            <w:tcW w:w="4010" w:type="dxa"/>
            <w:noWrap w:val="0"/>
            <w:vAlign w:val="center"/>
          </w:tcPr>
          <w:p w14:paraId="49942DF1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开发环境初始化</w:t>
            </w:r>
          </w:p>
        </w:tc>
      </w:tr>
      <w:tr w14:paraId="1CAC9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494" w:type="dxa"/>
            <w:vMerge w:val="continue"/>
            <w:noWrap w:val="0"/>
            <w:vAlign w:val="center"/>
          </w:tcPr>
          <w:p w14:paraId="18AD274C">
            <w:pPr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4010" w:type="dxa"/>
            <w:noWrap w:val="0"/>
            <w:vAlign w:val="center"/>
          </w:tcPr>
          <w:p w14:paraId="0546A074">
            <w:pPr>
              <w:widowControl/>
              <w:spacing w:line="250" w:lineRule="atLeast"/>
              <w:jc w:val="center"/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数据处理框架</w:t>
            </w:r>
            <w:r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/</w:t>
            </w: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机器学习框架</w:t>
            </w:r>
            <w:r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/</w:t>
            </w: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深度学习框架等组件部署与验证</w:t>
            </w:r>
          </w:p>
        </w:tc>
      </w:tr>
      <w:tr w14:paraId="6D7B9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494" w:type="dxa"/>
            <w:vMerge w:val="continue"/>
            <w:noWrap w:val="0"/>
            <w:vAlign w:val="center"/>
          </w:tcPr>
          <w:p w14:paraId="6BB2EC18">
            <w:pPr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4010" w:type="dxa"/>
            <w:noWrap w:val="0"/>
            <w:vAlign w:val="center"/>
          </w:tcPr>
          <w:p w14:paraId="24BC5BA7">
            <w:pPr>
              <w:widowControl/>
              <w:spacing w:line="250" w:lineRule="atLeast"/>
              <w:jc w:val="center"/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集成开发环境或Notebook工具配置</w:t>
            </w:r>
          </w:p>
        </w:tc>
      </w:tr>
      <w:tr w14:paraId="725AF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4494" w:type="dxa"/>
            <w:vMerge w:val="restart"/>
            <w:noWrap w:val="0"/>
            <w:vAlign w:val="center"/>
          </w:tcPr>
          <w:p w14:paraId="0C7237A8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数据工程与特征处理</w:t>
            </w:r>
          </w:p>
        </w:tc>
        <w:tc>
          <w:tcPr>
            <w:tcW w:w="4010" w:type="dxa"/>
            <w:noWrap w:val="0"/>
            <w:vAlign w:val="center"/>
          </w:tcPr>
          <w:p w14:paraId="72E72862">
            <w:pPr>
              <w:widowControl/>
              <w:spacing w:line="250" w:lineRule="exact"/>
              <w:jc w:val="center"/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业务数据集加载和探索</w:t>
            </w:r>
            <w:r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/</w:t>
            </w: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数据清洗</w:t>
            </w:r>
            <w:r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/</w:t>
            </w: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问题</w:t>
            </w:r>
            <w:r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处理</w:t>
            </w:r>
          </w:p>
        </w:tc>
      </w:tr>
      <w:tr w14:paraId="11928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494" w:type="dxa"/>
            <w:vMerge w:val="continue"/>
            <w:noWrap w:val="0"/>
            <w:vAlign w:val="center"/>
          </w:tcPr>
          <w:p w14:paraId="100DFA21">
            <w:pPr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4010" w:type="dxa"/>
            <w:noWrap w:val="0"/>
            <w:vAlign w:val="center"/>
          </w:tcPr>
          <w:p w14:paraId="7A4B102F">
            <w:pPr>
              <w:widowControl/>
              <w:spacing w:line="250" w:lineRule="atLeast"/>
              <w:jc w:val="center"/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工程任务特征提取</w:t>
            </w:r>
            <w:r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/</w:t>
            </w: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特征选择</w:t>
            </w:r>
            <w:r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/</w:t>
            </w: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特征编码及特征标准化/归一化</w:t>
            </w:r>
          </w:p>
        </w:tc>
      </w:tr>
      <w:tr w14:paraId="0F7BC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494" w:type="dxa"/>
            <w:vMerge w:val="continue"/>
            <w:noWrap w:val="0"/>
            <w:vAlign w:val="center"/>
          </w:tcPr>
          <w:p w14:paraId="6899A2A5">
            <w:pPr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4010" w:type="dxa"/>
            <w:noWrap w:val="0"/>
            <w:vAlign w:val="center"/>
          </w:tcPr>
          <w:p w14:paraId="0D4B6377">
            <w:pPr>
              <w:widowControl/>
              <w:spacing w:line="250" w:lineRule="atLeast"/>
              <w:jc w:val="center"/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数据集划分</w:t>
            </w:r>
            <w:r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/</w:t>
            </w: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数据文件及数据处理报告输出</w:t>
            </w:r>
          </w:p>
        </w:tc>
      </w:tr>
      <w:tr w14:paraId="56DC9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494" w:type="dxa"/>
            <w:vMerge w:val="restart"/>
            <w:noWrap w:val="0"/>
            <w:vAlign w:val="center"/>
          </w:tcPr>
          <w:p w14:paraId="299C48AD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模型训练与调优</w:t>
            </w:r>
          </w:p>
        </w:tc>
        <w:tc>
          <w:tcPr>
            <w:tcW w:w="4010" w:type="dxa"/>
            <w:noWrap w:val="0"/>
            <w:vAlign w:val="center"/>
          </w:tcPr>
          <w:p w14:paraId="24B1DC0D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机器学习或深度学习模型构建</w:t>
            </w:r>
          </w:p>
        </w:tc>
      </w:tr>
      <w:tr w14:paraId="67D6C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494" w:type="dxa"/>
            <w:vMerge w:val="continue"/>
            <w:noWrap w:val="0"/>
            <w:vAlign w:val="center"/>
          </w:tcPr>
          <w:p w14:paraId="6FC1AFB8">
            <w:pPr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4010" w:type="dxa"/>
            <w:noWrap w:val="0"/>
            <w:vAlign w:val="center"/>
          </w:tcPr>
          <w:p w14:paraId="79D40799">
            <w:pPr>
              <w:widowControl/>
              <w:spacing w:line="250" w:lineRule="atLeast"/>
              <w:jc w:val="center"/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模型训练代码编写与执行</w:t>
            </w:r>
          </w:p>
        </w:tc>
      </w:tr>
      <w:tr w14:paraId="0F1A3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494" w:type="dxa"/>
            <w:vMerge w:val="continue"/>
            <w:noWrap w:val="0"/>
            <w:vAlign w:val="center"/>
          </w:tcPr>
          <w:p w14:paraId="1D889F2E">
            <w:pPr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4010" w:type="dxa"/>
            <w:noWrap w:val="0"/>
            <w:vAlign w:val="center"/>
          </w:tcPr>
          <w:p w14:paraId="3BC9A7DD">
            <w:pPr>
              <w:widowControl/>
              <w:spacing w:line="250" w:lineRule="atLeast"/>
              <w:jc w:val="center"/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模型调优策略实施</w:t>
            </w:r>
          </w:p>
        </w:tc>
      </w:tr>
      <w:tr w14:paraId="40A92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4494" w:type="dxa"/>
            <w:vMerge w:val="restart"/>
            <w:noWrap w:val="0"/>
            <w:vAlign w:val="center"/>
          </w:tcPr>
          <w:p w14:paraId="2E3ACBFB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AI应用集成与性能评估</w:t>
            </w:r>
          </w:p>
        </w:tc>
        <w:tc>
          <w:tcPr>
            <w:tcW w:w="4010" w:type="dxa"/>
            <w:noWrap w:val="0"/>
            <w:vAlign w:val="center"/>
          </w:tcPr>
          <w:p w14:paraId="7C55C576">
            <w:pPr>
              <w:widowControl/>
              <w:spacing w:line="250" w:lineRule="exact"/>
              <w:jc w:val="center"/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模型保存、加载与轻量化处理</w:t>
            </w:r>
            <w:r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/</w:t>
            </w: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模型调用函数或类编写</w:t>
            </w:r>
          </w:p>
        </w:tc>
      </w:tr>
      <w:tr w14:paraId="43364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494" w:type="dxa"/>
            <w:vMerge w:val="continue"/>
            <w:noWrap w:val="0"/>
            <w:vAlign w:val="center"/>
          </w:tcPr>
          <w:p w14:paraId="58C523EC">
            <w:pPr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4010" w:type="dxa"/>
            <w:noWrap w:val="0"/>
            <w:vAlign w:val="center"/>
          </w:tcPr>
          <w:p w14:paraId="5E2FAEBB">
            <w:pPr>
              <w:widowControl/>
              <w:spacing w:line="250" w:lineRule="atLeast"/>
              <w:jc w:val="center"/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模型评估</w:t>
            </w:r>
          </w:p>
        </w:tc>
      </w:tr>
      <w:tr w14:paraId="07702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494" w:type="dxa"/>
            <w:vMerge w:val="continue"/>
            <w:noWrap w:val="0"/>
            <w:vAlign w:val="center"/>
          </w:tcPr>
          <w:p w14:paraId="4A545B3C">
            <w:pPr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4010" w:type="dxa"/>
            <w:noWrap w:val="0"/>
            <w:vAlign w:val="center"/>
          </w:tcPr>
          <w:p w14:paraId="16E82DA6">
            <w:pPr>
              <w:widowControl/>
              <w:spacing w:line="250" w:lineRule="atLeast"/>
              <w:jc w:val="center"/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模型服务化接口</w:t>
            </w:r>
            <w:r>
              <w:rPr>
                <w:rFonts w:hint="eastAsia"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实现</w:t>
            </w:r>
            <w:r>
              <w:rPr>
                <w:rFonts w:ascii="Times New Roman" w:hAnsi="Times New Roman" w:eastAsia="仿宋_GB2312" w:cs="仿宋"/>
                <w:color w:val="0F1115"/>
                <w:sz w:val="24"/>
                <w:szCs w:val="24"/>
                <w:shd w:val="clear" w:color="auto" w:fill="FFFFFF"/>
                <w:lang w:bidi="ar"/>
              </w:rPr>
              <w:t>模型预测</w:t>
            </w:r>
          </w:p>
        </w:tc>
      </w:tr>
    </w:tbl>
    <w:p w14:paraId="0D42BC5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A0C35DF-8CF0-49E3-ACAD-961CCDFF926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3C329F4-C5C3-4123-862E-405B378D3D6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52E573B-C86C-4EA1-8C17-E1915600F2E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825795CD-9677-45C3-8D16-C221B03542B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4052851-4E8F-4879-8444-8814101A015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673CBF"/>
    <w:rsid w:val="0A67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2026-08-05T01:33:00Z</dcterms:created>
  <dc:creator>SY-WeiChen</dc:creator>
  <cp:lastModifiedBy>SY-WeiChen</cp:lastModifiedBy>
  <dcterms:modified xsi:type="dcterms:W3CDTF">2026-08-05T01:33:20Z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17F6A982CA50418182CBC39B74E6B067_11</vt:lpwstr>
  </property>
  <property fmtid="{D5CDD505-2E9C-101B-9397-08002B2CF9AE}" pid="4" name="KSOTemplateDocerSaveRecord">
    <vt:lpwstr>eyJoZGlkIjoiYmE4NGY5YjQ4YWE0OTQxMzg5YzE0OTQwOTY1YWVhMDIiLCJ1c2VySWQiOiIxMTk5NTAxMTkzIn0=</vt:lpwstr>
  </property>
</Properties>
</file>