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D60EA">
      <w:pPr>
        <w:pStyle w:val="2"/>
        <w:topLinePunct/>
        <w:spacing w:before="0" w:after="0" w:line="560" w:lineRule="exact"/>
        <w:rPr>
          <w:rFonts w:ascii="Times New Roman" w:hAnsi="Times New Roman" w:eastAsia="黑体"/>
          <w:b w:val="0"/>
          <w:bCs w:val="0"/>
          <w:sz w:val="32"/>
          <w:szCs w:val="32"/>
        </w:rPr>
      </w:pPr>
      <w:r>
        <w:rPr>
          <w:rFonts w:ascii="Times New Roman" w:hAnsi="Times New Roman" w:eastAsia="黑体"/>
          <w:b w:val="0"/>
          <w:bCs w:val="0"/>
          <w:sz w:val="32"/>
          <w:szCs w:val="32"/>
        </w:rPr>
        <w:t>附件2</w:t>
      </w:r>
    </w:p>
    <w:p w14:paraId="7CB137EF">
      <w:pPr>
        <w:spacing w:line="560" w:lineRule="exact"/>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信息通信网络运行管理员</w:t>
      </w:r>
    </w:p>
    <w:p w14:paraId="329EC0CA">
      <w:pPr>
        <w:spacing w:line="560" w:lineRule="exact"/>
        <w:jc w:val="center"/>
        <w:rPr>
          <w:rFonts w:ascii="Times New Roman" w:hAnsi="Times New Roman" w:eastAsia="仿宋_GB2312"/>
          <w:color w:val="000000"/>
          <w:kern w:val="0"/>
          <w:sz w:val="32"/>
          <w:szCs w:val="32"/>
          <w:lang w:bidi="ar"/>
        </w:rPr>
      </w:pPr>
      <w:r>
        <w:rPr>
          <w:rFonts w:hint="eastAsia" w:ascii="Times New Roman" w:hAnsi="Times New Roman" w:eastAsia="方正小标宋_GBK" w:cs="方正小标宋_GBK"/>
          <w:sz w:val="44"/>
          <w:szCs w:val="44"/>
        </w:rPr>
        <w:t>（通信网络管理员）竞赛大纲</w:t>
      </w:r>
    </w:p>
    <w:p w14:paraId="77187B66">
      <w:pPr>
        <w:spacing w:line="560" w:lineRule="exact"/>
        <w:ind w:firstLine="560"/>
        <w:rPr>
          <w:rFonts w:ascii="Times New Roman" w:hAnsi="Times New Roman" w:eastAsia="仿宋_GB2312"/>
          <w:sz w:val="32"/>
          <w:szCs w:val="32"/>
          <w:lang w:bidi="ar"/>
        </w:rPr>
      </w:pPr>
    </w:p>
    <w:p w14:paraId="75564F41">
      <w:pPr>
        <w:spacing w:line="560" w:lineRule="exact"/>
        <w:ind w:firstLine="560"/>
        <w:rPr>
          <w:rFonts w:hint="eastAsia" w:ascii="Times New Roman" w:hAnsi="Times New Roman" w:eastAsia="黑体" w:cs="黑体"/>
          <w:sz w:val="32"/>
          <w:szCs w:val="32"/>
          <w:lang w:bidi="ar"/>
        </w:rPr>
      </w:pPr>
      <w:r>
        <w:rPr>
          <w:rFonts w:hint="eastAsia" w:ascii="Times New Roman" w:hAnsi="Times New Roman" w:eastAsia="黑体" w:cs="黑体"/>
          <w:sz w:val="32"/>
          <w:szCs w:val="32"/>
          <w:lang w:bidi="ar"/>
        </w:rPr>
        <w:t>一、竞赛标准</w:t>
      </w:r>
    </w:p>
    <w:p w14:paraId="25C814DD">
      <w:pPr>
        <w:spacing w:line="560" w:lineRule="exact"/>
        <w:ind w:firstLine="560"/>
        <w:rPr>
          <w:rFonts w:ascii="Times New Roman" w:hAnsi="Times New Roman" w:eastAsia="仿宋_GB2312"/>
          <w:sz w:val="32"/>
          <w:szCs w:val="32"/>
          <w:lang w:bidi="ar"/>
        </w:rPr>
      </w:pPr>
      <w:r>
        <w:rPr>
          <w:rFonts w:ascii="Times New Roman" w:hAnsi="Times New Roman" w:eastAsia="仿宋_GB2312"/>
          <w:sz w:val="32"/>
          <w:szCs w:val="32"/>
          <w:lang w:bidi="ar"/>
        </w:rPr>
        <w:t>竞赛以《信息通信网络运行管理员国家职业技能标准</w:t>
      </w:r>
      <w:r>
        <w:rPr>
          <w:rFonts w:hint="default" w:ascii="Times New Roman" w:hAnsi="Times New Roman" w:eastAsia="楷体" w:cs="Times New Roman"/>
          <w:sz w:val="32"/>
          <w:szCs w:val="32"/>
          <w:lang w:bidi="ar"/>
        </w:rPr>
        <w:t>（2019年版）</w:t>
      </w:r>
      <w:r>
        <w:rPr>
          <w:rFonts w:ascii="Times New Roman" w:hAnsi="Times New Roman" w:eastAsia="仿宋_GB2312"/>
          <w:sz w:val="32"/>
          <w:szCs w:val="32"/>
          <w:lang w:bidi="ar"/>
        </w:rPr>
        <w:t>》中高级工及以上职业技能等级相应标准为基础，同时结合企业岗位实际需求和相关专业技术发展情况制定理论知识考核与实操考核评价标准。</w:t>
      </w:r>
    </w:p>
    <w:p w14:paraId="55EE0F4A">
      <w:pPr>
        <w:spacing w:line="560" w:lineRule="exact"/>
        <w:ind w:firstLine="560"/>
        <w:rPr>
          <w:rFonts w:ascii="Times New Roman" w:hAnsi="Times New Roman" w:eastAsia="黑体" w:cs="黑体"/>
          <w:sz w:val="32"/>
          <w:szCs w:val="32"/>
          <w:lang w:bidi="ar"/>
        </w:rPr>
      </w:pPr>
      <w:r>
        <w:rPr>
          <w:rFonts w:hint="eastAsia" w:ascii="Times New Roman" w:hAnsi="Times New Roman" w:eastAsia="黑体" w:cs="黑体"/>
          <w:sz w:val="32"/>
          <w:szCs w:val="32"/>
          <w:lang w:bidi="ar"/>
        </w:rPr>
        <w:t>二、</w:t>
      </w:r>
      <w:r>
        <w:rPr>
          <w:rFonts w:ascii="Times New Roman" w:hAnsi="Times New Roman" w:eastAsia="黑体" w:cs="黑体"/>
          <w:sz w:val="32"/>
          <w:szCs w:val="32"/>
          <w:lang w:bidi="ar"/>
        </w:rPr>
        <w:t>竞赛形式</w:t>
      </w:r>
    </w:p>
    <w:p w14:paraId="14583DE9">
      <w:pPr>
        <w:spacing w:line="560" w:lineRule="exact"/>
        <w:ind w:firstLine="560"/>
        <w:rPr>
          <w:rFonts w:ascii="Times New Roman" w:hAnsi="Times New Roman" w:eastAsia="仿宋_GB2312"/>
          <w:sz w:val="32"/>
          <w:szCs w:val="32"/>
          <w:lang w:bidi="ar"/>
        </w:rPr>
      </w:pPr>
      <w:r>
        <w:rPr>
          <w:rFonts w:ascii="Times New Roman" w:hAnsi="Times New Roman" w:eastAsia="仿宋_GB2312"/>
          <w:sz w:val="32"/>
          <w:szCs w:val="32"/>
          <w:lang w:bidi="ar"/>
        </w:rPr>
        <w:t>本赛项为单人赛，采用理论知识考核加实操考核相结合的方式，其中理论知识考核成绩占总成绩的30%，实操考核成绩占总成绩的70%。</w:t>
      </w:r>
    </w:p>
    <w:p w14:paraId="0B2A5947">
      <w:pPr>
        <w:spacing w:line="560" w:lineRule="exact"/>
        <w:ind w:firstLine="560"/>
        <w:rPr>
          <w:rFonts w:ascii="Times New Roman" w:hAnsi="Times New Roman" w:eastAsia="黑体" w:cs="黑体"/>
          <w:sz w:val="32"/>
          <w:szCs w:val="32"/>
          <w:lang w:bidi="ar"/>
        </w:rPr>
      </w:pPr>
      <w:r>
        <w:rPr>
          <w:rFonts w:hint="eastAsia" w:ascii="Times New Roman" w:hAnsi="Times New Roman" w:eastAsia="黑体" w:cs="黑体"/>
          <w:sz w:val="32"/>
          <w:szCs w:val="32"/>
          <w:lang w:bidi="ar"/>
        </w:rPr>
        <w:t>三、</w:t>
      </w:r>
      <w:r>
        <w:rPr>
          <w:rFonts w:ascii="Times New Roman" w:hAnsi="Times New Roman" w:eastAsia="黑体" w:cs="黑体"/>
          <w:sz w:val="32"/>
          <w:szCs w:val="32"/>
          <w:lang w:bidi="ar"/>
        </w:rPr>
        <w:t>理论知识考核</w:t>
      </w:r>
    </w:p>
    <w:p w14:paraId="43B43F43">
      <w:pPr>
        <w:spacing w:line="560" w:lineRule="exact"/>
        <w:ind w:firstLine="560"/>
        <w:rPr>
          <w:rFonts w:ascii="Times New Roman" w:hAnsi="Times New Roman" w:eastAsia="仿宋_GB2312"/>
          <w:sz w:val="32"/>
          <w:szCs w:val="32"/>
          <w:lang w:bidi="ar"/>
        </w:rPr>
      </w:pPr>
      <w:r>
        <w:rPr>
          <w:rFonts w:ascii="Times New Roman" w:hAnsi="Times New Roman" w:eastAsia="仿宋_GB2312"/>
          <w:sz w:val="32"/>
          <w:szCs w:val="32"/>
          <w:lang w:bidi="ar"/>
        </w:rPr>
        <w:t>理论知识考核内容主要包括5G/5G-A无线网络原理、系统架构、信令流程、基站系统、网络建设流程、关键技术、网络规划及网络优化等理论知识。</w:t>
      </w:r>
    </w:p>
    <w:p w14:paraId="379346FB">
      <w:pPr>
        <w:spacing w:line="560" w:lineRule="exact"/>
        <w:ind w:firstLine="560"/>
        <w:rPr>
          <w:rFonts w:ascii="Times New Roman" w:hAnsi="Times New Roman" w:eastAsia="黑体" w:cs="黑体"/>
          <w:sz w:val="32"/>
          <w:szCs w:val="32"/>
          <w:lang w:bidi="ar"/>
        </w:rPr>
      </w:pPr>
      <w:r>
        <w:rPr>
          <w:rFonts w:hint="eastAsia" w:ascii="Times New Roman" w:hAnsi="Times New Roman" w:eastAsia="黑体" w:cs="黑体"/>
          <w:sz w:val="32"/>
          <w:szCs w:val="32"/>
          <w:lang w:bidi="ar"/>
        </w:rPr>
        <w:t>四、</w:t>
      </w:r>
      <w:r>
        <w:rPr>
          <w:rFonts w:ascii="Times New Roman" w:hAnsi="Times New Roman" w:eastAsia="黑体" w:cs="黑体"/>
          <w:sz w:val="32"/>
          <w:szCs w:val="32"/>
          <w:lang w:bidi="ar"/>
        </w:rPr>
        <w:t>实操考核</w:t>
      </w:r>
    </w:p>
    <w:p w14:paraId="134C46FB">
      <w:pPr>
        <w:spacing w:line="56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lang w:bidi="ar"/>
        </w:rPr>
        <w:t>实操考核涵盖空天地智联网络规划、部署开通、运行维护、性能优化等端到端网络支撑能力。主要考核模块如下：</w:t>
      </w:r>
    </w:p>
    <w:tbl>
      <w:tblPr>
        <w:tblStyle w:val="3"/>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52"/>
      </w:tblGrid>
      <w:tr w14:paraId="5EBC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noWrap w:val="0"/>
            <w:vAlign w:val="center"/>
          </w:tcPr>
          <w:p w14:paraId="513F1FB1">
            <w:pPr>
              <w:widowControl/>
              <w:spacing w:line="500" w:lineRule="exact"/>
              <w:jc w:val="center"/>
              <w:rPr>
                <w:rFonts w:hint="eastAsia" w:ascii="Times New Roman" w:hAnsi="Times New Roman" w:eastAsia="仿宋_GB2312" w:cs="仿宋_GB2312"/>
                <w:b/>
                <w:bCs/>
                <w:color w:val="0F1115"/>
                <w:sz w:val="24"/>
                <w:szCs w:val="24"/>
                <w:shd w:val="clear" w:color="auto" w:fill="FFFFFF"/>
                <w:lang w:bidi="ar"/>
              </w:rPr>
            </w:pPr>
            <w:r>
              <w:rPr>
                <w:rFonts w:hint="eastAsia" w:ascii="Times New Roman" w:hAnsi="Times New Roman" w:eastAsia="仿宋_GB2312" w:cs="仿宋_GB2312"/>
                <w:b/>
                <w:bCs/>
                <w:color w:val="0F1115"/>
                <w:sz w:val="24"/>
                <w:szCs w:val="24"/>
                <w:shd w:val="clear" w:color="auto" w:fill="FFFFFF"/>
                <w:lang w:bidi="ar"/>
              </w:rPr>
              <w:t>竞赛模块</w:t>
            </w:r>
          </w:p>
        </w:tc>
        <w:tc>
          <w:tcPr>
            <w:tcW w:w="4261" w:type="dxa"/>
            <w:noWrap w:val="0"/>
            <w:vAlign w:val="center"/>
          </w:tcPr>
          <w:p w14:paraId="7A1C4F38">
            <w:pPr>
              <w:widowControl/>
              <w:spacing w:line="500" w:lineRule="exact"/>
              <w:jc w:val="center"/>
              <w:rPr>
                <w:rFonts w:hint="eastAsia" w:ascii="Times New Roman" w:hAnsi="Times New Roman" w:eastAsia="仿宋_GB2312" w:cs="仿宋_GB2312"/>
                <w:b/>
                <w:bCs/>
                <w:color w:val="0F1115"/>
                <w:sz w:val="24"/>
                <w:szCs w:val="24"/>
                <w:shd w:val="clear" w:color="auto" w:fill="FFFFFF"/>
                <w:lang w:bidi="ar"/>
              </w:rPr>
            </w:pPr>
            <w:r>
              <w:rPr>
                <w:rFonts w:hint="eastAsia" w:ascii="Times New Roman" w:hAnsi="Times New Roman" w:eastAsia="仿宋_GB2312" w:cs="仿宋_GB2312"/>
                <w:b/>
                <w:bCs/>
                <w:color w:val="0F1115"/>
                <w:sz w:val="24"/>
                <w:szCs w:val="24"/>
                <w:shd w:val="clear" w:color="auto" w:fill="FFFFFF"/>
                <w:lang w:bidi="ar"/>
              </w:rPr>
              <w:t>主要知识技能点</w:t>
            </w:r>
          </w:p>
        </w:tc>
      </w:tr>
      <w:tr w14:paraId="5987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restart"/>
            <w:noWrap w:val="0"/>
            <w:vAlign w:val="center"/>
          </w:tcPr>
          <w:p w14:paraId="214BC9FC">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rPr>
              <w:t>空天地智联网络部署与开通</w:t>
            </w:r>
          </w:p>
        </w:tc>
        <w:tc>
          <w:tcPr>
            <w:tcW w:w="4261" w:type="dxa"/>
            <w:noWrap w:val="0"/>
            <w:vAlign w:val="center"/>
          </w:tcPr>
          <w:p w14:paraId="3ECA659C">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空天地智联网络智能场景升级</w:t>
            </w:r>
          </w:p>
        </w:tc>
      </w:tr>
      <w:tr w14:paraId="7ECF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continue"/>
            <w:noWrap w:val="0"/>
            <w:vAlign w:val="center"/>
          </w:tcPr>
          <w:p w14:paraId="39523050">
            <w:pPr>
              <w:spacing w:line="500" w:lineRule="exact"/>
              <w:jc w:val="center"/>
              <w:rPr>
                <w:rFonts w:hint="eastAsia" w:ascii="Times New Roman" w:hAnsi="Times New Roman" w:eastAsia="仿宋_GB2312" w:cs="仿宋_GB2312"/>
                <w:color w:val="0F1115"/>
                <w:sz w:val="24"/>
                <w:szCs w:val="24"/>
                <w:shd w:val="clear" w:color="auto" w:fill="FFFFFF"/>
                <w:lang w:bidi="ar"/>
              </w:rPr>
            </w:pPr>
          </w:p>
        </w:tc>
        <w:tc>
          <w:tcPr>
            <w:tcW w:w="4261" w:type="dxa"/>
            <w:noWrap w:val="0"/>
            <w:vAlign w:val="center"/>
          </w:tcPr>
          <w:p w14:paraId="36AE5375">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空天地智联网络规划设计</w:t>
            </w:r>
          </w:p>
        </w:tc>
      </w:tr>
      <w:tr w14:paraId="46F2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continue"/>
            <w:noWrap w:val="0"/>
            <w:vAlign w:val="center"/>
          </w:tcPr>
          <w:p w14:paraId="051288DC">
            <w:pPr>
              <w:spacing w:line="500" w:lineRule="exact"/>
              <w:jc w:val="center"/>
              <w:rPr>
                <w:rFonts w:hint="eastAsia" w:ascii="Times New Roman" w:hAnsi="Times New Roman" w:eastAsia="仿宋_GB2312" w:cs="仿宋_GB2312"/>
                <w:color w:val="0F1115"/>
                <w:sz w:val="24"/>
                <w:szCs w:val="24"/>
                <w:shd w:val="clear" w:color="auto" w:fill="FFFFFF"/>
                <w:lang w:bidi="ar"/>
              </w:rPr>
            </w:pPr>
          </w:p>
        </w:tc>
        <w:tc>
          <w:tcPr>
            <w:tcW w:w="4261" w:type="dxa"/>
            <w:noWrap w:val="0"/>
            <w:vAlign w:val="center"/>
          </w:tcPr>
          <w:p w14:paraId="7D125F80">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空天地智联网络设备部署</w:t>
            </w:r>
          </w:p>
        </w:tc>
      </w:tr>
      <w:tr w14:paraId="762F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continue"/>
            <w:noWrap w:val="0"/>
            <w:vAlign w:val="center"/>
          </w:tcPr>
          <w:p w14:paraId="3A40606D">
            <w:pPr>
              <w:spacing w:line="500" w:lineRule="exact"/>
              <w:jc w:val="center"/>
              <w:rPr>
                <w:rFonts w:hint="eastAsia" w:ascii="Times New Roman" w:hAnsi="Times New Roman" w:eastAsia="仿宋_GB2312" w:cs="仿宋_GB2312"/>
                <w:color w:val="0F1115"/>
                <w:sz w:val="24"/>
                <w:szCs w:val="24"/>
                <w:shd w:val="clear" w:color="auto" w:fill="FFFFFF"/>
                <w:lang w:bidi="ar"/>
              </w:rPr>
            </w:pPr>
          </w:p>
        </w:tc>
        <w:tc>
          <w:tcPr>
            <w:tcW w:w="4261" w:type="dxa"/>
            <w:noWrap w:val="0"/>
            <w:vAlign w:val="center"/>
          </w:tcPr>
          <w:p w14:paraId="4CE7E3BE">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空天地智联网络数据配置</w:t>
            </w:r>
          </w:p>
        </w:tc>
      </w:tr>
      <w:tr w14:paraId="4FF3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continue"/>
            <w:noWrap w:val="0"/>
            <w:vAlign w:val="center"/>
          </w:tcPr>
          <w:p w14:paraId="0A41D730">
            <w:pPr>
              <w:spacing w:line="500" w:lineRule="exact"/>
              <w:jc w:val="center"/>
              <w:rPr>
                <w:rFonts w:hint="eastAsia" w:ascii="Times New Roman" w:hAnsi="Times New Roman" w:eastAsia="仿宋_GB2312" w:cs="仿宋_GB2312"/>
                <w:color w:val="0F1115"/>
                <w:sz w:val="24"/>
                <w:szCs w:val="24"/>
                <w:shd w:val="clear" w:color="auto" w:fill="FFFFFF"/>
                <w:lang w:bidi="ar"/>
              </w:rPr>
            </w:pPr>
          </w:p>
        </w:tc>
        <w:tc>
          <w:tcPr>
            <w:tcW w:w="4261" w:type="dxa"/>
            <w:noWrap w:val="0"/>
            <w:vAlign w:val="center"/>
          </w:tcPr>
          <w:p w14:paraId="74412B97">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空天地智联网络业务调试</w:t>
            </w:r>
          </w:p>
        </w:tc>
      </w:tr>
      <w:tr w14:paraId="56C7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continue"/>
            <w:noWrap w:val="0"/>
            <w:vAlign w:val="center"/>
          </w:tcPr>
          <w:p w14:paraId="0B6CD322">
            <w:pPr>
              <w:spacing w:line="500" w:lineRule="exact"/>
              <w:jc w:val="center"/>
              <w:rPr>
                <w:rFonts w:hint="eastAsia" w:ascii="Times New Roman" w:hAnsi="Times New Roman" w:eastAsia="仿宋_GB2312" w:cs="仿宋_GB2312"/>
                <w:color w:val="0F1115"/>
                <w:sz w:val="24"/>
                <w:szCs w:val="24"/>
                <w:shd w:val="clear" w:color="auto" w:fill="FFFFFF"/>
                <w:lang w:bidi="ar"/>
              </w:rPr>
            </w:pPr>
          </w:p>
        </w:tc>
        <w:tc>
          <w:tcPr>
            <w:tcW w:w="4261" w:type="dxa"/>
            <w:noWrap w:val="0"/>
            <w:vAlign w:val="center"/>
          </w:tcPr>
          <w:p w14:paraId="5E4C2495">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空天地智联典型场景开通调试</w:t>
            </w:r>
          </w:p>
        </w:tc>
      </w:tr>
      <w:tr w14:paraId="70DF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restart"/>
            <w:noWrap w:val="0"/>
            <w:vAlign w:val="center"/>
          </w:tcPr>
          <w:p w14:paraId="48D182EC">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rPr>
              <w:t>空天地智联网络运营与性能优化</w:t>
            </w:r>
          </w:p>
        </w:tc>
        <w:tc>
          <w:tcPr>
            <w:tcW w:w="4261" w:type="dxa"/>
            <w:noWrap w:val="0"/>
            <w:vAlign w:val="center"/>
          </w:tcPr>
          <w:p w14:paraId="645055DE">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无线接入网故障排除</w:t>
            </w:r>
          </w:p>
        </w:tc>
      </w:tr>
      <w:tr w14:paraId="1D19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continue"/>
            <w:noWrap w:val="0"/>
            <w:vAlign w:val="center"/>
          </w:tcPr>
          <w:p w14:paraId="35D3A080">
            <w:pPr>
              <w:spacing w:line="500" w:lineRule="exact"/>
              <w:jc w:val="center"/>
              <w:rPr>
                <w:rFonts w:hint="eastAsia" w:ascii="Times New Roman" w:hAnsi="Times New Roman" w:eastAsia="仿宋_GB2312" w:cs="仿宋_GB2312"/>
                <w:color w:val="0F1115"/>
                <w:sz w:val="24"/>
                <w:szCs w:val="24"/>
                <w:shd w:val="clear" w:color="auto" w:fill="FFFFFF"/>
                <w:lang w:bidi="ar"/>
              </w:rPr>
            </w:pPr>
          </w:p>
        </w:tc>
        <w:tc>
          <w:tcPr>
            <w:tcW w:w="4261" w:type="dxa"/>
            <w:noWrap w:val="0"/>
            <w:vAlign w:val="center"/>
          </w:tcPr>
          <w:p w14:paraId="430760D4">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承载网故障排除</w:t>
            </w:r>
          </w:p>
        </w:tc>
      </w:tr>
      <w:tr w14:paraId="4A16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continue"/>
            <w:noWrap w:val="0"/>
            <w:vAlign w:val="center"/>
          </w:tcPr>
          <w:p w14:paraId="70F2A455">
            <w:pPr>
              <w:spacing w:line="500" w:lineRule="exact"/>
              <w:jc w:val="center"/>
              <w:rPr>
                <w:rFonts w:hint="eastAsia" w:ascii="Times New Roman" w:hAnsi="Times New Roman" w:eastAsia="仿宋_GB2312" w:cs="仿宋_GB2312"/>
                <w:color w:val="0F1115"/>
                <w:sz w:val="24"/>
                <w:szCs w:val="24"/>
                <w:shd w:val="clear" w:color="auto" w:fill="FFFFFF"/>
                <w:lang w:bidi="ar"/>
              </w:rPr>
            </w:pPr>
          </w:p>
        </w:tc>
        <w:tc>
          <w:tcPr>
            <w:tcW w:w="4261" w:type="dxa"/>
            <w:noWrap w:val="0"/>
            <w:vAlign w:val="center"/>
          </w:tcPr>
          <w:p w14:paraId="2A09273C">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光传输网故障排除</w:t>
            </w:r>
          </w:p>
        </w:tc>
      </w:tr>
      <w:tr w14:paraId="3DEE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continue"/>
            <w:noWrap w:val="0"/>
            <w:vAlign w:val="center"/>
          </w:tcPr>
          <w:p w14:paraId="2202BF36">
            <w:pPr>
              <w:spacing w:line="500" w:lineRule="exact"/>
              <w:jc w:val="center"/>
              <w:rPr>
                <w:rFonts w:hint="eastAsia" w:ascii="Times New Roman" w:hAnsi="Times New Roman" w:eastAsia="仿宋_GB2312" w:cs="仿宋_GB2312"/>
                <w:color w:val="0F1115"/>
                <w:sz w:val="24"/>
                <w:szCs w:val="24"/>
                <w:shd w:val="clear" w:color="auto" w:fill="FFFFFF"/>
                <w:lang w:bidi="ar"/>
              </w:rPr>
            </w:pPr>
          </w:p>
        </w:tc>
        <w:tc>
          <w:tcPr>
            <w:tcW w:w="4261" w:type="dxa"/>
            <w:noWrap w:val="0"/>
            <w:vAlign w:val="center"/>
          </w:tcPr>
          <w:p w14:paraId="4EC0C566">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核心网业务故障排除</w:t>
            </w:r>
          </w:p>
        </w:tc>
      </w:tr>
      <w:tr w14:paraId="4629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Merge w:val="continue"/>
            <w:noWrap w:val="0"/>
            <w:vAlign w:val="center"/>
          </w:tcPr>
          <w:p w14:paraId="0AEADD5C">
            <w:pPr>
              <w:spacing w:line="500" w:lineRule="exact"/>
              <w:jc w:val="center"/>
              <w:rPr>
                <w:rFonts w:hint="eastAsia" w:ascii="Times New Roman" w:hAnsi="Times New Roman" w:eastAsia="仿宋_GB2312" w:cs="仿宋_GB2312"/>
                <w:color w:val="0F1115"/>
                <w:sz w:val="24"/>
                <w:szCs w:val="24"/>
                <w:shd w:val="clear" w:color="auto" w:fill="FFFFFF"/>
                <w:lang w:bidi="ar"/>
              </w:rPr>
            </w:pPr>
          </w:p>
        </w:tc>
        <w:tc>
          <w:tcPr>
            <w:tcW w:w="4261" w:type="dxa"/>
            <w:noWrap w:val="0"/>
            <w:vAlign w:val="center"/>
          </w:tcPr>
          <w:p w14:paraId="5594C7D5">
            <w:pPr>
              <w:widowControl/>
              <w:spacing w:line="500" w:lineRule="exact"/>
              <w:jc w:val="center"/>
              <w:rPr>
                <w:rFonts w:hint="eastAsia" w:ascii="Times New Roman" w:hAnsi="Times New Roman" w:eastAsia="仿宋_GB2312" w:cs="仿宋_GB2312"/>
                <w:color w:val="0F1115"/>
                <w:sz w:val="24"/>
                <w:szCs w:val="24"/>
                <w:shd w:val="clear" w:color="auto" w:fill="FFFFFF"/>
                <w:lang w:bidi="ar"/>
              </w:rPr>
            </w:pPr>
            <w:r>
              <w:rPr>
                <w:rFonts w:hint="eastAsia" w:ascii="Times New Roman" w:hAnsi="Times New Roman" w:eastAsia="仿宋_GB2312" w:cs="仿宋_GB2312"/>
                <w:color w:val="0F1115"/>
                <w:sz w:val="24"/>
                <w:szCs w:val="24"/>
                <w:shd w:val="clear" w:color="auto" w:fill="FFFFFF"/>
                <w:lang w:bidi="ar"/>
              </w:rPr>
              <w:t>空天地智联典型场景运维优化</w:t>
            </w:r>
          </w:p>
        </w:tc>
      </w:tr>
    </w:tbl>
    <w:p w14:paraId="10E6BE8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02B8FD-1D17-47B1-8378-7ECD62BFB0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8A24470-C709-4C34-AC34-636611913C0F}"/>
  </w:font>
  <w:font w:name="方正小标宋_GBK">
    <w:panose1 w:val="02000000000000000000"/>
    <w:charset w:val="86"/>
    <w:family w:val="script"/>
    <w:pitch w:val="default"/>
    <w:sig w:usb0="A00002BF" w:usb1="38CF7CFA" w:usb2="00082016" w:usb3="00000000" w:csb0="00040001" w:csb1="00000000"/>
    <w:embedRegular r:id="rId3" w:fontKey="{FF7422EA-7ED4-4D46-9A1A-3289D782A8C6}"/>
  </w:font>
  <w:font w:name="仿宋_GB2312">
    <w:panose1 w:val="02010609030101010101"/>
    <w:charset w:val="86"/>
    <w:family w:val="modern"/>
    <w:pitch w:val="default"/>
    <w:sig w:usb0="00000001" w:usb1="080E0000" w:usb2="00000000" w:usb3="00000000" w:csb0="00040000" w:csb1="00000000"/>
    <w:embedRegular r:id="rId4" w:fontKey="{C63864E8-3F8B-4E01-8884-D3646778A95B}"/>
  </w:font>
  <w:font w:name="楷体">
    <w:panose1 w:val="02010609060101010101"/>
    <w:charset w:val="86"/>
    <w:family w:val="modern"/>
    <w:pitch w:val="default"/>
    <w:sig w:usb0="800002BF" w:usb1="38CF7CFA" w:usb2="00000016" w:usb3="00000000" w:csb0="00040001" w:csb1="00000000"/>
    <w:embedRegular r:id="rId5" w:fontKey="{0CC1E411-DE9D-42B7-BC4B-2E9A489FD9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97A44"/>
    <w:rsid w:val="35F97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2026-08-05T01:31:00Z</dcterms:created>
  <dc:creator>SY-WeiChen</dc:creator>
  <cp:lastModifiedBy>SY-WeiChen</cp:lastModifiedBy>
  <dcterms:modified xsi:type="dcterms:W3CDTF">2026-08-05T01:31:20Z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A551AC47DA404AE0A21DB139C3B795FC_11</vt:lpwstr>
  </property>
  <property fmtid="{D5CDD505-2E9C-101B-9397-08002B2CF9AE}" pid="4" name="KSOTemplateDocerSaveRecord">
    <vt:lpwstr>eyJoZGlkIjoiYmE4NGY5YjQ4YWE0OTQxMzg5YzE0OTQwOTY1YWVhMDIiLCJ1c2VySWQiOiIxMTk5NTAxMTkzIn0=</vt:lpwstr>
  </property>
</Properties>
</file>