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5FDAB">
      <w:pPr>
        <w:spacing w:line="560" w:lineRule="exact"/>
        <w:jc w:val="left"/>
        <w:rPr>
          <w:rFonts w:ascii="Times New Roman" w:hAnsi="Times New Roman" w:eastAsia="黑体"/>
          <w:sz w:val="32"/>
          <w:szCs w:val="32"/>
        </w:rPr>
      </w:pPr>
      <w:r>
        <w:rPr>
          <w:rFonts w:ascii="Times New Roman" w:hAnsi="Times New Roman" w:eastAsia="黑体"/>
          <w:sz w:val="32"/>
          <w:szCs w:val="32"/>
        </w:rPr>
        <w:t>附件3</w:t>
      </w:r>
    </w:p>
    <w:p w14:paraId="197E1E12">
      <w:pPr>
        <w:spacing w:line="560" w:lineRule="exact"/>
        <w:jc w:val="left"/>
        <w:rPr>
          <w:rFonts w:hint="eastAsia" w:ascii="Times New Roman" w:hAnsi="Times New Roman" w:eastAsia="黑体" w:cs="黑体"/>
          <w:sz w:val="32"/>
          <w:szCs w:val="32"/>
        </w:rPr>
      </w:pPr>
    </w:p>
    <w:p w14:paraId="4C6AA850">
      <w:pPr>
        <w:spacing w:line="560" w:lineRule="exact"/>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信息通信网络机务员（传输机务员）</w:t>
      </w:r>
    </w:p>
    <w:p w14:paraId="14EA653C">
      <w:pPr>
        <w:spacing w:line="560" w:lineRule="exact"/>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竞赛大纲</w:t>
      </w:r>
    </w:p>
    <w:p w14:paraId="1F0A480F">
      <w:pPr>
        <w:spacing w:line="560" w:lineRule="exact"/>
        <w:ind w:firstLine="560"/>
        <w:rPr>
          <w:rFonts w:ascii="Times New Roman" w:hAnsi="Times New Roman" w:eastAsia="仿宋_GB2312"/>
          <w:sz w:val="32"/>
          <w:szCs w:val="32"/>
          <w:lang w:bidi="ar"/>
        </w:rPr>
      </w:pPr>
    </w:p>
    <w:p w14:paraId="455EB306">
      <w:pPr>
        <w:spacing w:line="560" w:lineRule="exact"/>
        <w:ind w:firstLine="560"/>
        <w:rPr>
          <w:rFonts w:hint="eastAsia" w:ascii="Times New Roman" w:hAnsi="Times New Roman" w:eastAsia="黑体" w:cs="黑体"/>
          <w:sz w:val="32"/>
          <w:szCs w:val="32"/>
          <w:lang w:bidi="ar"/>
        </w:rPr>
      </w:pPr>
      <w:r>
        <w:rPr>
          <w:rFonts w:hint="eastAsia" w:ascii="Times New Roman" w:hAnsi="Times New Roman" w:eastAsia="黑体" w:cs="黑体"/>
          <w:sz w:val="32"/>
          <w:szCs w:val="32"/>
          <w:lang w:bidi="ar"/>
        </w:rPr>
        <w:t>一、竞赛标准</w:t>
      </w:r>
    </w:p>
    <w:p w14:paraId="354BB0F9">
      <w:pPr>
        <w:spacing w:line="560" w:lineRule="exact"/>
        <w:ind w:firstLine="560"/>
        <w:rPr>
          <w:rFonts w:ascii="Times New Roman" w:hAnsi="Times New Roman" w:eastAsia="仿宋_GB2312"/>
          <w:sz w:val="32"/>
          <w:szCs w:val="32"/>
          <w:lang w:bidi="ar"/>
        </w:rPr>
      </w:pPr>
      <w:r>
        <w:rPr>
          <w:rFonts w:ascii="Times New Roman" w:hAnsi="Times New Roman" w:eastAsia="仿宋_GB2312"/>
          <w:sz w:val="32"/>
          <w:szCs w:val="32"/>
          <w:lang w:bidi="ar"/>
        </w:rPr>
        <w:t>竞赛以《信息通信网络机务员国家职业技能标准</w:t>
      </w:r>
      <w:r>
        <w:rPr>
          <w:rFonts w:hint="default" w:ascii="Times New Roman" w:hAnsi="Times New Roman" w:eastAsia="楷体" w:cs="Times New Roman"/>
          <w:sz w:val="32"/>
          <w:szCs w:val="32"/>
          <w:lang w:bidi="ar"/>
        </w:rPr>
        <w:t>（2019年版）</w:t>
      </w:r>
      <w:r>
        <w:rPr>
          <w:rFonts w:ascii="Times New Roman" w:hAnsi="Times New Roman" w:eastAsia="仿宋_GB2312"/>
          <w:sz w:val="32"/>
          <w:szCs w:val="32"/>
          <w:lang w:bidi="ar"/>
        </w:rPr>
        <w:t>》中高级工及以上职业技能等级相应标准为基础，同时结合企业岗位实际需求和相关专业技术发展情况制定理论知识考核与实操考核评价标准。</w:t>
      </w:r>
    </w:p>
    <w:p w14:paraId="104726A6">
      <w:pPr>
        <w:spacing w:line="560" w:lineRule="exact"/>
        <w:ind w:firstLine="560"/>
        <w:rPr>
          <w:rFonts w:ascii="Times New Roman" w:hAnsi="Times New Roman" w:eastAsia="黑体" w:cs="黑体"/>
          <w:sz w:val="32"/>
          <w:szCs w:val="32"/>
          <w:lang w:bidi="ar"/>
        </w:rPr>
      </w:pPr>
      <w:r>
        <w:rPr>
          <w:rFonts w:hint="eastAsia" w:ascii="Times New Roman" w:hAnsi="Times New Roman" w:eastAsia="黑体" w:cs="黑体"/>
          <w:sz w:val="32"/>
          <w:szCs w:val="32"/>
          <w:lang w:bidi="ar"/>
        </w:rPr>
        <w:t>二、</w:t>
      </w:r>
      <w:r>
        <w:rPr>
          <w:rFonts w:ascii="Times New Roman" w:hAnsi="Times New Roman" w:eastAsia="黑体" w:cs="黑体"/>
          <w:sz w:val="32"/>
          <w:szCs w:val="32"/>
          <w:lang w:bidi="ar"/>
        </w:rPr>
        <w:t>竞赛形式</w:t>
      </w:r>
    </w:p>
    <w:p w14:paraId="10B624D6">
      <w:pPr>
        <w:spacing w:line="560" w:lineRule="exact"/>
        <w:ind w:firstLine="560"/>
        <w:rPr>
          <w:rFonts w:ascii="Times New Roman" w:hAnsi="Times New Roman" w:eastAsia="仿宋_GB2312"/>
          <w:sz w:val="32"/>
          <w:szCs w:val="32"/>
          <w:lang w:bidi="ar"/>
        </w:rPr>
      </w:pPr>
      <w:r>
        <w:rPr>
          <w:rFonts w:ascii="Times New Roman" w:hAnsi="Times New Roman" w:eastAsia="仿宋_GB2312"/>
          <w:sz w:val="32"/>
          <w:szCs w:val="32"/>
          <w:lang w:bidi="ar"/>
        </w:rPr>
        <w:t>本赛项为单人赛，采用理论知识考核加实操考核相结合的方式，其中理论知识考核成绩占总成绩的30%，实操考核成绩占总成绩的70%。</w:t>
      </w:r>
    </w:p>
    <w:p w14:paraId="67A1D65A">
      <w:pPr>
        <w:spacing w:line="560" w:lineRule="exact"/>
        <w:ind w:firstLine="560"/>
        <w:rPr>
          <w:rFonts w:ascii="Times New Roman" w:hAnsi="Times New Roman" w:eastAsia="黑体" w:cs="黑体"/>
          <w:sz w:val="32"/>
          <w:szCs w:val="32"/>
          <w:lang w:bidi="ar"/>
        </w:rPr>
      </w:pPr>
      <w:r>
        <w:rPr>
          <w:rFonts w:hint="eastAsia" w:ascii="Times New Roman" w:hAnsi="Times New Roman" w:eastAsia="黑体" w:cs="黑体"/>
          <w:sz w:val="32"/>
          <w:szCs w:val="32"/>
          <w:lang w:bidi="ar"/>
        </w:rPr>
        <w:t>三、</w:t>
      </w:r>
      <w:r>
        <w:rPr>
          <w:rFonts w:ascii="Times New Roman" w:hAnsi="Times New Roman" w:eastAsia="黑体" w:cs="黑体"/>
          <w:sz w:val="32"/>
          <w:szCs w:val="32"/>
          <w:lang w:bidi="ar"/>
        </w:rPr>
        <w:t>理论知识考核</w:t>
      </w:r>
    </w:p>
    <w:p w14:paraId="7FECF6EE">
      <w:pPr>
        <w:spacing w:line="560" w:lineRule="exact"/>
        <w:ind w:firstLine="560"/>
        <w:rPr>
          <w:rFonts w:ascii="Times New Roman" w:hAnsi="Times New Roman" w:eastAsia="仿宋_GB2312"/>
          <w:sz w:val="32"/>
          <w:szCs w:val="32"/>
          <w:lang w:bidi="ar"/>
        </w:rPr>
      </w:pPr>
      <w:r>
        <w:rPr>
          <w:rFonts w:ascii="Times New Roman" w:hAnsi="Times New Roman" w:eastAsia="仿宋_GB2312"/>
          <w:sz w:val="32"/>
          <w:szCs w:val="32"/>
          <w:lang w:bidi="ar"/>
        </w:rPr>
        <w:t>理论知识考核内容主要包括光宽带网络基础知识，包括城域网架构、协议栈、以太网交换原理、IP路由原理、PON原理、WLAN原理、OTN原理等知识，以及智慧城域网业务流程及协议原理，BRAS和AAA原理、VoIP协议原理、组播原理、IPTV业务系统，宽带上网流程、VoIP呼叫流程、IPTV业务流程等知识。</w:t>
      </w:r>
    </w:p>
    <w:p w14:paraId="6369B399">
      <w:pPr>
        <w:spacing w:line="560" w:lineRule="exact"/>
        <w:ind w:firstLine="560"/>
        <w:rPr>
          <w:rFonts w:ascii="Times New Roman" w:hAnsi="Times New Roman" w:eastAsia="黑体" w:cs="黑体"/>
          <w:sz w:val="32"/>
          <w:szCs w:val="32"/>
          <w:lang w:bidi="ar"/>
        </w:rPr>
      </w:pPr>
      <w:r>
        <w:rPr>
          <w:rFonts w:hint="eastAsia" w:ascii="Times New Roman" w:hAnsi="Times New Roman" w:eastAsia="黑体" w:cs="黑体"/>
          <w:sz w:val="32"/>
          <w:szCs w:val="32"/>
          <w:lang w:bidi="ar"/>
        </w:rPr>
        <w:t>四、</w:t>
      </w:r>
      <w:r>
        <w:rPr>
          <w:rFonts w:ascii="Times New Roman" w:hAnsi="Times New Roman" w:eastAsia="黑体" w:cs="黑体"/>
          <w:sz w:val="32"/>
          <w:szCs w:val="32"/>
          <w:lang w:bidi="ar"/>
        </w:rPr>
        <w:t>实操考核</w:t>
      </w:r>
    </w:p>
    <w:p w14:paraId="360092A8">
      <w:pPr>
        <w:spacing w:line="560" w:lineRule="exact"/>
        <w:ind w:firstLine="560"/>
        <w:rPr>
          <w:rFonts w:ascii="Times New Roman" w:hAnsi="Times New Roman" w:eastAsia="仿宋_GB2312"/>
          <w:sz w:val="32"/>
          <w:szCs w:val="32"/>
        </w:rPr>
      </w:pPr>
      <w:r>
        <w:rPr>
          <w:rFonts w:ascii="Times New Roman" w:hAnsi="Times New Roman" w:eastAsia="仿宋_GB2312"/>
          <w:sz w:val="32"/>
          <w:szCs w:val="32"/>
          <w:lang w:bidi="ar"/>
        </w:rPr>
        <w:t>实操考核涵盖光纤接入工程实务、智慧城域网业务开通部署、智慧城域网故障排除等。主要考核模块如下：</w:t>
      </w:r>
    </w:p>
    <w:tbl>
      <w:tblPr>
        <w:tblStyle w:val="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1"/>
        <w:gridCol w:w="4253"/>
      </w:tblGrid>
      <w:tr w14:paraId="1C32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noWrap w:val="0"/>
            <w:vAlign w:val="center"/>
          </w:tcPr>
          <w:p w14:paraId="6C08759B">
            <w:pPr>
              <w:widowControl/>
              <w:spacing w:line="500" w:lineRule="exact"/>
              <w:jc w:val="center"/>
              <w:rPr>
                <w:rFonts w:hint="eastAsia" w:ascii="Times New Roman" w:hAnsi="Times New Roman" w:eastAsia="仿宋_GB2312" w:cs="仿宋"/>
                <w:b/>
                <w:bCs/>
                <w:color w:val="0F1115"/>
                <w:sz w:val="24"/>
                <w:szCs w:val="24"/>
                <w:shd w:val="clear" w:color="auto" w:fill="FFFFFF"/>
                <w:lang w:bidi="ar"/>
              </w:rPr>
            </w:pPr>
            <w:r>
              <w:rPr>
                <w:rFonts w:hint="eastAsia" w:ascii="Times New Roman" w:hAnsi="Times New Roman" w:eastAsia="仿宋_GB2312" w:cs="仿宋"/>
                <w:b/>
                <w:bCs/>
                <w:color w:val="0F1115"/>
                <w:sz w:val="24"/>
                <w:szCs w:val="24"/>
                <w:shd w:val="clear" w:color="auto" w:fill="FFFFFF"/>
                <w:lang w:bidi="ar"/>
              </w:rPr>
              <w:t>竞赛模块</w:t>
            </w:r>
          </w:p>
        </w:tc>
        <w:tc>
          <w:tcPr>
            <w:tcW w:w="4261" w:type="dxa"/>
            <w:noWrap w:val="0"/>
            <w:vAlign w:val="center"/>
          </w:tcPr>
          <w:p w14:paraId="58B1CB16">
            <w:pPr>
              <w:widowControl/>
              <w:spacing w:line="500" w:lineRule="exact"/>
              <w:jc w:val="center"/>
              <w:rPr>
                <w:rFonts w:hint="eastAsia" w:ascii="Times New Roman" w:hAnsi="Times New Roman" w:eastAsia="仿宋_GB2312" w:cs="仿宋"/>
                <w:b/>
                <w:bCs/>
                <w:color w:val="0F1115"/>
                <w:sz w:val="24"/>
                <w:szCs w:val="24"/>
                <w:shd w:val="clear" w:color="auto" w:fill="FFFFFF"/>
                <w:lang w:bidi="ar"/>
              </w:rPr>
            </w:pPr>
            <w:r>
              <w:rPr>
                <w:rFonts w:hint="eastAsia" w:ascii="Times New Roman" w:hAnsi="Times New Roman" w:eastAsia="仿宋_GB2312" w:cs="仿宋"/>
                <w:b/>
                <w:bCs/>
                <w:color w:val="0F1115"/>
                <w:sz w:val="24"/>
                <w:szCs w:val="24"/>
                <w:shd w:val="clear" w:color="auto" w:fill="FFFFFF"/>
                <w:lang w:bidi="ar"/>
              </w:rPr>
              <w:t>主要知识技能点</w:t>
            </w:r>
          </w:p>
        </w:tc>
      </w:tr>
      <w:tr w14:paraId="31F7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restart"/>
            <w:noWrap w:val="0"/>
            <w:vAlign w:val="center"/>
          </w:tcPr>
          <w:p w14:paraId="03B8E3C7">
            <w:pPr>
              <w:widowControl/>
              <w:spacing w:line="500" w:lineRule="exac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lang w:bidi="ar"/>
              </w:rPr>
              <w:t>智慧城域网业务开通部署</w:t>
            </w:r>
          </w:p>
        </w:tc>
        <w:tc>
          <w:tcPr>
            <w:tcW w:w="4261" w:type="dxa"/>
            <w:noWrap w:val="0"/>
            <w:vAlign w:val="center"/>
          </w:tcPr>
          <w:p w14:paraId="3BB211EA">
            <w:pPr>
              <w:widowControl/>
              <w:spacing w:line="500" w:lineRule="exac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接入网拓扑规划与容量计算</w:t>
            </w:r>
          </w:p>
        </w:tc>
      </w:tr>
      <w:tr w14:paraId="0D7B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055806C5">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1BAD0C27">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承载网设备部署与数据配置</w:t>
            </w:r>
          </w:p>
        </w:tc>
      </w:tr>
      <w:tr w14:paraId="3532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7E5BC02E">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7230A4E7">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宽带上网业务设备部署调试</w:t>
            </w:r>
          </w:p>
        </w:tc>
      </w:tr>
      <w:tr w14:paraId="52A9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22817D9B">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14C4E2D5">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VoIP业务部署调试</w:t>
            </w:r>
          </w:p>
        </w:tc>
      </w:tr>
      <w:tr w14:paraId="648E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15153D73">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63D825B3">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IPTV业务部署调试</w:t>
            </w:r>
          </w:p>
        </w:tc>
      </w:tr>
      <w:tr w14:paraId="257C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restart"/>
            <w:noWrap w:val="0"/>
            <w:vAlign w:val="center"/>
          </w:tcPr>
          <w:p w14:paraId="1A4C83A7">
            <w:pPr>
              <w:widowControl/>
              <w:spacing w:line="500" w:lineRule="exac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lang w:bidi="ar"/>
              </w:rPr>
              <w:t>智慧宽带接入网工程实施</w:t>
            </w:r>
          </w:p>
        </w:tc>
        <w:tc>
          <w:tcPr>
            <w:tcW w:w="4261" w:type="dxa"/>
            <w:noWrap w:val="0"/>
            <w:vAlign w:val="center"/>
          </w:tcPr>
          <w:p w14:paraId="33BCCB82">
            <w:pPr>
              <w:widowControl/>
              <w:spacing w:line="500" w:lineRule="exac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工程勘察设计及概预算</w:t>
            </w:r>
          </w:p>
        </w:tc>
      </w:tr>
      <w:tr w14:paraId="4A13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4BEB5E09">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41D47467">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光缆线路工程施工</w:t>
            </w:r>
          </w:p>
        </w:tc>
      </w:tr>
      <w:tr w14:paraId="1ED8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6841B262">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05A9C8C7">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通信管道工程施工</w:t>
            </w:r>
          </w:p>
        </w:tc>
      </w:tr>
      <w:tr w14:paraId="13C4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32FFEF7C">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1DCC47DB">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FTTx入户光缆施工</w:t>
            </w:r>
          </w:p>
        </w:tc>
      </w:tr>
      <w:tr w14:paraId="0C1B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restart"/>
            <w:noWrap w:val="0"/>
            <w:vAlign w:val="center"/>
          </w:tcPr>
          <w:p w14:paraId="7CD667F7">
            <w:pPr>
              <w:widowControl/>
              <w:spacing w:line="500" w:lineRule="exac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lang w:bidi="ar"/>
              </w:rPr>
              <w:t>智慧城域网故障排除</w:t>
            </w:r>
          </w:p>
        </w:tc>
        <w:tc>
          <w:tcPr>
            <w:tcW w:w="4261" w:type="dxa"/>
            <w:noWrap w:val="0"/>
            <w:vAlign w:val="center"/>
          </w:tcPr>
          <w:p w14:paraId="56D97CA7">
            <w:pPr>
              <w:widowControl/>
              <w:spacing w:line="500" w:lineRule="exac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有线宽带上网业务故障排除</w:t>
            </w:r>
          </w:p>
        </w:tc>
      </w:tr>
      <w:tr w14:paraId="6AD0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5D590C54">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4DC46D30">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WLAN业务故障排除</w:t>
            </w:r>
          </w:p>
        </w:tc>
      </w:tr>
      <w:tr w14:paraId="7834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75F0495F">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0979E9BB">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VoIP业务故障排除</w:t>
            </w:r>
          </w:p>
        </w:tc>
      </w:tr>
      <w:tr w14:paraId="61C6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34B31030">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680BB6CB">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IPTV业务故障排除</w:t>
            </w:r>
          </w:p>
        </w:tc>
      </w:tr>
      <w:tr w14:paraId="25ED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723ED1F0">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0BF6FB62">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数据通信网络故障排除</w:t>
            </w:r>
          </w:p>
        </w:tc>
      </w:tr>
      <w:tr w14:paraId="6D5A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4261" w:type="dxa"/>
            <w:vMerge w:val="continue"/>
            <w:noWrap w:val="0"/>
            <w:vAlign w:val="center"/>
          </w:tcPr>
          <w:p w14:paraId="4B5170E7">
            <w:pPr>
              <w:rPr>
                <w:rFonts w:hint="eastAsia" w:ascii="Times New Roman" w:hAnsi="Times New Roman" w:eastAsia="仿宋_GB2312" w:cs="仿宋"/>
                <w:color w:val="0F1115"/>
                <w:sz w:val="24"/>
                <w:szCs w:val="24"/>
                <w:shd w:val="clear" w:color="auto" w:fill="FFFFFF"/>
                <w:lang w:bidi="ar"/>
              </w:rPr>
            </w:pPr>
          </w:p>
        </w:tc>
        <w:tc>
          <w:tcPr>
            <w:tcW w:w="4261" w:type="dxa"/>
            <w:noWrap w:val="0"/>
            <w:vAlign w:val="center"/>
          </w:tcPr>
          <w:p w14:paraId="75210501">
            <w:pPr>
              <w:widowControl/>
              <w:spacing w:line="250" w:lineRule="atLeast"/>
              <w:jc w:val="center"/>
              <w:rPr>
                <w:rFonts w:hint="eastAsia" w:ascii="Times New Roman" w:hAnsi="Times New Roman" w:eastAsia="仿宋_GB2312" w:cs="仿宋"/>
                <w:color w:val="0F1115"/>
                <w:sz w:val="24"/>
                <w:szCs w:val="24"/>
                <w:shd w:val="clear" w:color="auto" w:fill="FFFFFF"/>
                <w:lang w:bidi="ar"/>
              </w:rPr>
            </w:pPr>
            <w:r>
              <w:rPr>
                <w:rFonts w:hint="eastAsia" w:ascii="Times New Roman" w:hAnsi="Times New Roman" w:eastAsia="仿宋_GB2312" w:cs="仿宋"/>
                <w:color w:val="0F1115"/>
                <w:sz w:val="24"/>
                <w:szCs w:val="24"/>
                <w:shd w:val="clear" w:color="auto" w:fill="FFFFFF"/>
                <w:lang w:bidi="ar"/>
              </w:rPr>
              <w:t>OTN网络故障排除</w:t>
            </w:r>
          </w:p>
        </w:tc>
      </w:tr>
    </w:tbl>
    <w:p w14:paraId="4203C60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21B709-2D5F-466F-9F56-1C4C00699F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57C4383-48F1-4FAF-ABDD-C3634055E66C}"/>
  </w:font>
  <w:font w:name="方正小标宋_GBK">
    <w:panose1 w:val="02000000000000000000"/>
    <w:charset w:val="86"/>
    <w:family w:val="script"/>
    <w:pitch w:val="default"/>
    <w:sig w:usb0="A00002BF" w:usb1="38CF7CFA" w:usb2="00082016" w:usb3="00000000" w:csb0="00040001" w:csb1="00000000"/>
    <w:embedRegular r:id="rId3" w:fontKey="{27C11878-9F99-4B26-8647-7876170FAE21}"/>
  </w:font>
  <w:font w:name="仿宋_GB2312">
    <w:panose1 w:val="02010609030101010101"/>
    <w:charset w:val="86"/>
    <w:family w:val="modern"/>
    <w:pitch w:val="default"/>
    <w:sig w:usb0="00000001" w:usb1="080E0000" w:usb2="00000000" w:usb3="00000000" w:csb0="00040000" w:csb1="00000000"/>
    <w:embedRegular r:id="rId4" w:fontKey="{64EB0E62-0C51-4373-8FF3-FFEBA0313949}"/>
  </w:font>
  <w:font w:name="楷体">
    <w:panose1 w:val="02010609060101010101"/>
    <w:charset w:val="86"/>
    <w:family w:val="modern"/>
    <w:pitch w:val="default"/>
    <w:sig w:usb0="800002BF" w:usb1="38CF7CFA" w:usb2="00000016" w:usb3="00000000" w:csb0="00040001" w:csb1="00000000"/>
    <w:embedRegular r:id="rId5" w:fontKey="{65DE4753-9E50-4A15-A61D-7BA7F203BB49}"/>
  </w:font>
  <w:font w:name="仿宋">
    <w:panose1 w:val="02010609060101010101"/>
    <w:charset w:val="86"/>
    <w:family w:val="modern"/>
    <w:pitch w:val="default"/>
    <w:sig w:usb0="800002BF" w:usb1="38CF7CFA" w:usb2="00000016" w:usb3="00000000" w:csb0="00040001" w:csb1="00000000"/>
    <w:embedRegular r:id="rId6" w:fontKey="{ABB48C5C-44E7-434D-9A23-A4E8B7A5024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E86EB5"/>
    <w:rsid w:val="4CE86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2026-08-05T01:31:00Z</dcterms:created>
  <dc:creator>SY-WeiChen</dc:creator>
  <cp:lastModifiedBy>SY-WeiChen</cp:lastModifiedBy>
  <dcterms:modified xsi:type="dcterms:W3CDTF">2026-08-05T01:31:57Z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16EF2FFD88FA45B08DE447AF041D1F4A_11</vt:lpwstr>
  </property>
  <property fmtid="{D5CDD505-2E9C-101B-9397-08002B2CF9AE}" pid="4" name="KSOTemplateDocerSaveRecord">
    <vt:lpwstr>eyJoZGlkIjoiYmE4NGY5YjQ4YWE0OTQxMzg5YzE0OTQwOTY1YWVhMDIiLCJ1c2VySWQiOiIxMTk5NTAxMTkzIn0=</vt:lpwstr>
  </property>
</Properties>
</file>