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 w:val="left" w:pos="720"/>
        </w:tabs>
        <w:spacing w:before="120" w:after="120" w:line="360" w:lineRule="auto"/>
        <w:ind w:firstLine="643" w:firstLineChars="200"/>
        <w:jc w:val="right"/>
        <w:rPr>
          <w:rFonts w:ascii="仿宋" w:hAnsi="仿宋" w:eastAsia="仿宋_GB2312" w:cs="仿宋"/>
          <w:b/>
          <w:sz w:val="32"/>
          <w:szCs w:val="32"/>
        </w:rPr>
      </w:pPr>
      <w:bookmarkStart w:id="138" w:name="_GoBack"/>
      <w:bookmarkEnd w:id="138"/>
    </w:p>
    <w:p>
      <w:pPr>
        <w:tabs>
          <w:tab w:val="left" w:pos="720"/>
        </w:tabs>
        <w:spacing w:before="120" w:after="120" w:line="360" w:lineRule="auto"/>
        <w:ind w:firstLine="1044" w:firstLineChars="200"/>
        <w:jc w:val="center"/>
        <w:rPr>
          <w:rFonts w:ascii="仿宋" w:hAnsi="仿宋" w:eastAsia="仿宋_GB2312" w:cs="仿宋"/>
          <w:b/>
          <w:sz w:val="52"/>
          <w:szCs w:val="52"/>
        </w:rPr>
      </w:pPr>
    </w:p>
    <w:p>
      <w:pPr>
        <w:pStyle w:val="2"/>
      </w:pPr>
    </w:p>
    <w:p>
      <w:pPr>
        <w:pStyle w:val="2"/>
      </w:pPr>
    </w:p>
    <w:p>
      <w:pPr>
        <w:tabs>
          <w:tab w:val="left" w:pos="720"/>
        </w:tabs>
        <w:spacing w:before="120" w:after="120" w:line="360" w:lineRule="auto"/>
        <w:jc w:val="center"/>
        <w:rPr>
          <w:rFonts w:ascii="仿宋" w:hAnsi="仿宋" w:eastAsia="仿宋_GB2312" w:cs="仿宋"/>
          <w:b/>
          <w:sz w:val="52"/>
          <w:szCs w:val="52"/>
        </w:rPr>
      </w:pPr>
      <w:r>
        <w:rPr>
          <w:rFonts w:hint="eastAsia" w:ascii="仿宋" w:hAnsi="仿宋" w:eastAsia="仿宋_GB2312" w:cs="仿宋"/>
          <w:b/>
          <w:sz w:val="52"/>
          <w:szCs w:val="52"/>
        </w:rPr>
        <w:t>湖南省“十四五”信息通信业</w:t>
      </w:r>
    </w:p>
    <w:p>
      <w:pPr>
        <w:tabs>
          <w:tab w:val="left" w:pos="720"/>
        </w:tabs>
        <w:spacing w:before="120" w:after="120" w:line="360" w:lineRule="auto"/>
        <w:jc w:val="center"/>
        <w:rPr>
          <w:rFonts w:ascii="仿宋" w:hAnsi="仿宋" w:eastAsia="仿宋_GB2312" w:cs="仿宋"/>
          <w:b/>
          <w:sz w:val="52"/>
          <w:szCs w:val="52"/>
        </w:rPr>
      </w:pPr>
      <w:r>
        <w:rPr>
          <w:rFonts w:hint="eastAsia" w:ascii="仿宋" w:hAnsi="仿宋" w:eastAsia="仿宋_GB2312" w:cs="仿宋"/>
          <w:b/>
          <w:sz w:val="52"/>
          <w:szCs w:val="52"/>
        </w:rPr>
        <w:t>发展规划</w:t>
      </w:r>
    </w:p>
    <w:p>
      <w:pPr>
        <w:tabs>
          <w:tab w:val="left" w:pos="720"/>
        </w:tabs>
        <w:spacing w:before="120" w:after="120" w:line="360" w:lineRule="auto"/>
        <w:ind w:firstLine="1044" w:firstLineChars="200"/>
        <w:jc w:val="center"/>
        <w:rPr>
          <w:rFonts w:ascii="仿宋" w:hAnsi="仿宋" w:eastAsia="仿宋_GB2312" w:cs="仿宋"/>
          <w:b/>
          <w:sz w:val="52"/>
          <w:szCs w:val="52"/>
        </w:rPr>
      </w:pPr>
    </w:p>
    <w:p>
      <w:pPr>
        <w:tabs>
          <w:tab w:val="left" w:pos="720"/>
        </w:tabs>
        <w:spacing w:before="120" w:after="120" w:line="360" w:lineRule="auto"/>
        <w:ind w:firstLine="1044" w:firstLineChars="200"/>
        <w:jc w:val="center"/>
        <w:rPr>
          <w:rFonts w:ascii="仿宋" w:hAnsi="仿宋" w:eastAsia="仿宋_GB2312" w:cs="仿宋"/>
          <w:b/>
          <w:sz w:val="52"/>
          <w:szCs w:val="52"/>
        </w:rPr>
      </w:pPr>
    </w:p>
    <w:p>
      <w:pPr>
        <w:pStyle w:val="2"/>
        <w:rPr>
          <w:rFonts w:ascii="仿宋" w:hAnsi="仿宋" w:eastAsia="仿宋_GB2312" w:cs="仿宋"/>
          <w:b/>
          <w:sz w:val="52"/>
          <w:szCs w:val="52"/>
        </w:rPr>
      </w:pPr>
    </w:p>
    <w:p>
      <w:pPr>
        <w:pStyle w:val="3"/>
        <w:rPr>
          <w:rFonts w:ascii="仿宋" w:hAnsi="仿宋" w:eastAsia="仿宋_GB2312" w:cs="仿宋"/>
          <w:b/>
          <w:sz w:val="52"/>
          <w:szCs w:val="52"/>
        </w:rPr>
      </w:pPr>
    </w:p>
    <w:p/>
    <w:p>
      <w:pPr>
        <w:pStyle w:val="2"/>
      </w:pPr>
    </w:p>
    <w:p>
      <w:pPr>
        <w:tabs>
          <w:tab w:val="left" w:pos="720"/>
        </w:tabs>
        <w:spacing w:before="120" w:after="120" w:line="360" w:lineRule="auto"/>
        <w:jc w:val="center"/>
        <w:rPr>
          <w:rFonts w:ascii="仿宋" w:hAnsi="仿宋" w:eastAsia="仿宋_GB2312" w:cs="仿宋"/>
          <w:b/>
          <w:sz w:val="52"/>
          <w:szCs w:val="52"/>
        </w:rPr>
      </w:pPr>
    </w:p>
    <w:p>
      <w:pPr>
        <w:tabs>
          <w:tab w:val="left" w:pos="720"/>
        </w:tabs>
        <w:spacing w:before="120" w:after="120" w:line="360" w:lineRule="auto"/>
        <w:jc w:val="center"/>
        <w:rPr>
          <w:rFonts w:ascii="仿宋" w:hAnsi="仿宋" w:eastAsia="仿宋_GB2312" w:cs="仿宋"/>
          <w:b/>
          <w:sz w:val="36"/>
          <w:szCs w:val="36"/>
        </w:rPr>
      </w:pPr>
      <w:r>
        <w:rPr>
          <w:rFonts w:hint="eastAsia" w:ascii="仿宋" w:hAnsi="仿宋" w:eastAsia="仿宋_GB2312" w:cs="仿宋"/>
          <w:b/>
          <w:sz w:val="36"/>
          <w:szCs w:val="36"/>
        </w:rPr>
        <w:t>湖南省通信管理局</w:t>
      </w:r>
    </w:p>
    <w:p>
      <w:pPr>
        <w:tabs>
          <w:tab w:val="left" w:pos="720"/>
        </w:tabs>
        <w:spacing w:before="120" w:after="120" w:line="360" w:lineRule="auto"/>
        <w:ind w:firstLine="964" w:firstLineChars="200"/>
        <w:jc w:val="center"/>
        <w:rPr>
          <w:rFonts w:ascii="仿宋" w:hAnsi="仿宋" w:eastAsia="仿宋_GB2312" w:cs="仿宋"/>
          <w:b/>
          <w:sz w:val="48"/>
          <w:szCs w:val="48"/>
        </w:rPr>
      </w:pPr>
    </w:p>
    <w:p>
      <w:pPr>
        <w:tabs>
          <w:tab w:val="left" w:pos="720"/>
        </w:tabs>
        <w:spacing w:before="120" w:after="120" w:line="360" w:lineRule="auto"/>
        <w:jc w:val="center"/>
        <w:rPr>
          <w:rFonts w:ascii="Arial Unicode MS" w:hAnsi="Arial Unicode MS" w:eastAsia="仿宋_GB2312" w:cs="仿宋"/>
          <w:b/>
          <w:sz w:val="32"/>
          <w:szCs w:val="32"/>
        </w:rPr>
      </w:pPr>
      <w:r>
        <w:rPr>
          <w:rFonts w:hint="eastAsia" w:ascii="Arial Unicode MS" w:hAnsi="Arial Unicode MS" w:eastAsia="仿宋_GB2312" w:cs="仿宋"/>
          <w:b/>
          <w:sz w:val="32"/>
          <w:szCs w:val="32"/>
        </w:rPr>
        <w:t>二</w:t>
      </w:r>
      <w:r>
        <w:rPr>
          <w:rFonts w:hint="eastAsia" w:ascii="仿宋_GB2312" w:hAnsi="宋体"/>
          <w:b/>
          <w:sz w:val="32"/>
          <w:szCs w:val="32"/>
        </w:rPr>
        <w:t>○</w:t>
      </w:r>
      <w:r>
        <w:rPr>
          <w:rFonts w:hint="eastAsia" w:ascii="Arial Unicode MS" w:hAnsi="Arial Unicode MS" w:eastAsia="仿宋_GB2312" w:cs="仿宋"/>
          <w:b/>
          <w:sz w:val="32"/>
          <w:szCs w:val="32"/>
        </w:rPr>
        <w:t>二一年十</w:t>
      </w:r>
      <w:r>
        <w:rPr>
          <w:rFonts w:hint="eastAsia" w:ascii="Arial Unicode MS" w:hAnsi="Arial Unicode MS" w:eastAsia="仿宋_GB2312" w:cs="仿宋"/>
          <w:b/>
          <w:sz w:val="32"/>
          <w:szCs w:val="32"/>
          <w:lang w:eastAsia="zh-CN"/>
        </w:rPr>
        <w:t>一</w:t>
      </w:r>
      <w:r>
        <w:rPr>
          <w:rFonts w:hint="eastAsia" w:ascii="Arial Unicode MS" w:hAnsi="Arial Unicode MS" w:eastAsia="仿宋_GB2312" w:cs="仿宋"/>
          <w:b/>
          <w:sz w:val="32"/>
          <w:szCs w:val="32"/>
        </w:rPr>
        <w:t>月</w:t>
      </w:r>
    </w:p>
    <w:p>
      <w:pPr>
        <w:tabs>
          <w:tab w:val="left" w:pos="720"/>
        </w:tabs>
        <w:spacing w:before="120" w:after="120" w:line="360" w:lineRule="auto"/>
        <w:ind w:firstLine="723" w:firstLineChars="200"/>
        <w:jc w:val="center"/>
        <w:rPr>
          <w:rFonts w:ascii="仿宋" w:hAnsi="仿宋" w:eastAsia="仿宋_GB2312" w:cs="仿宋"/>
          <w:b/>
          <w:sz w:val="36"/>
          <w:szCs w:val="36"/>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jc w:val="center"/>
      </w:pPr>
      <w:r>
        <w:rPr>
          <w:rFonts w:hint="eastAsia" w:ascii="黑体" w:hAnsi="黑体" w:eastAsia="黑体"/>
          <w:sz w:val="36"/>
          <w:szCs w:val="36"/>
          <w:lang w:val="zh-CN"/>
        </w:rPr>
        <w:t>目</w:t>
      </w:r>
      <w:r>
        <w:rPr>
          <w:rFonts w:hint="eastAsia" w:ascii="黑体" w:hAnsi="黑体" w:eastAsia="黑体"/>
          <w:sz w:val="36"/>
          <w:szCs w:val="36"/>
        </w:rPr>
        <w:t xml:space="preserve">  </w:t>
      </w:r>
      <w:r>
        <w:rPr>
          <w:rFonts w:hint="eastAsia" w:ascii="黑体" w:hAnsi="黑体" w:eastAsia="黑体"/>
          <w:sz w:val="36"/>
          <w:szCs w:val="36"/>
          <w:lang w:val="zh-CN"/>
        </w:rPr>
        <w:t>录</w:t>
      </w:r>
    </w:p>
    <w:sdt>
      <w:sdtPr>
        <w:rPr>
          <w:rFonts w:ascii="宋体" w:hAnsi="宋体"/>
        </w:rPr>
        <w:id w:val="147459066"/>
        <w15:color w:val="DBDBDB"/>
        <w:docPartObj>
          <w:docPartGallery w:val="Table of Contents"/>
          <w:docPartUnique/>
        </w:docPartObj>
      </w:sdtPr>
      <w:sdtEndPr>
        <w:rPr>
          <w:rFonts w:ascii="宋体" w:hAnsi="宋体"/>
          <w:b/>
        </w:rPr>
      </w:sdtEndPr>
      <w:sdtContent>
        <w:p>
          <w:pPr>
            <w:widowControl/>
            <w:jc w:val="center"/>
            <w:rPr>
              <w:sz w:val="28"/>
              <w:szCs w:val="24"/>
            </w:rPr>
          </w:pPr>
        </w:p>
        <w:p>
          <w:pPr>
            <w:pStyle w:val="12"/>
            <w:tabs>
              <w:tab w:val="right" w:leader="dot" w:pos="8306"/>
            </w:tabs>
            <w:spacing w:line="240" w:lineRule="auto"/>
            <w:rPr>
              <w:sz w:val="28"/>
              <w:szCs w:val="28"/>
            </w:rPr>
          </w:pPr>
          <w:r>
            <w:rPr>
              <w:sz w:val="52"/>
              <w:szCs w:val="52"/>
            </w:rPr>
            <w:fldChar w:fldCharType="begin"/>
          </w:r>
          <w:r>
            <w:rPr>
              <w:sz w:val="52"/>
              <w:szCs w:val="52"/>
            </w:rPr>
            <w:instrText xml:space="preserve">TOC \o "1-2" \h \u </w:instrText>
          </w:r>
          <w:r>
            <w:rPr>
              <w:sz w:val="52"/>
              <w:szCs w:val="52"/>
            </w:rPr>
            <w:fldChar w:fldCharType="separate"/>
          </w:r>
          <w:r>
            <w:rPr>
              <w:sz w:val="28"/>
              <w:szCs w:val="28"/>
            </w:rPr>
            <w:fldChar w:fldCharType="begin"/>
          </w:r>
          <w:r>
            <w:rPr>
              <w:sz w:val="28"/>
              <w:szCs w:val="28"/>
            </w:rPr>
            <w:instrText xml:space="preserve"> HYPERLINK \l _Toc32499 </w:instrText>
          </w:r>
          <w:r>
            <w:rPr>
              <w:sz w:val="28"/>
              <w:szCs w:val="28"/>
            </w:rPr>
            <w:fldChar w:fldCharType="separate"/>
          </w:r>
          <w:r>
            <w:rPr>
              <w:rFonts w:hint="eastAsia" w:ascii="黑体" w:hAnsi="黑体" w:eastAsia="黑体" w:cs="仿宋"/>
              <w:sz w:val="28"/>
              <w:szCs w:val="28"/>
            </w:rPr>
            <w:t>一、发展回顾及面临形势</w:t>
          </w:r>
          <w:r>
            <w:rPr>
              <w:sz w:val="28"/>
              <w:szCs w:val="28"/>
            </w:rPr>
            <w:tab/>
          </w:r>
          <w:r>
            <w:rPr>
              <w:sz w:val="28"/>
              <w:szCs w:val="28"/>
            </w:rPr>
            <w:fldChar w:fldCharType="begin"/>
          </w:r>
          <w:r>
            <w:rPr>
              <w:sz w:val="28"/>
              <w:szCs w:val="28"/>
            </w:rPr>
            <w:instrText xml:space="preserve"> PAGEREF _Toc32499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_Toc14559 </w:instrText>
          </w:r>
          <w:r>
            <w:rPr>
              <w:sz w:val="28"/>
              <w:szCs w:val="28"/>
            </w:rPr>
            <w:fldChar w:fldCharType="separate"/>
          </w:r>
          <w:r>
            <w:rPr>
              <w:rFonts w:hint="eastAsia" w:ascii="楷体" w:hAnsi="楷体" w:eastAsia="楷体" w:cs="楷体"/>
              <w:bCs/>
              <w:sz w:val="28"/>
              <w:szCs w:val="28"/>
            </w:rPr>
            <w:t>（一）“十三五”</w:t>
          </w:r>
          <w:r>
            <w:rPr>
              <w:rFonts w:hint="eastAsia" w:ascii="楷体" w:hAnsi="楷体" w:eastAsia="楷体" w:cs="楷体"/>
              <w:bCs/>
              <w:sz w:val="28"/>
              <w:szCs w:val="28"/>
              <w:lang w:val="en-US" w:eastAsia="zh-CN"/>
            </w:rPr>
            <w:t>总结</w:t>
          </w:r>
          <w:r>
            <w:rPr>
              <w:sz w:val="28"/>
              <w:szCs w:val="28"/>
            </w:rPr>
            <w:tab/>
          </w:r>
          <w:r>
            <w:rPr>
              <w:sz w:val="28"/>
              <w:szCs w:val="28"/>
            </w:rPr>
            <w:fldChar w:fldCharType="begin"/>
          </w:r>
          <w:r>
            <w:rPr>
              <w:sz w:val="28"/>
              <w:szCs w:val="28"/>
            </w:rPr>
            <w:instrText xml:space="preserve"> PAGEREF _Toc14559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_Toc27744 </w:instrText>
          </w:r>
          <w:r>
            <w:rPr>
              <w:sz w:val="28"/>
              <w:szCs w:val="28"/>
            </w:rPr>
            <w:fldChar w:fldCharType="separate"/>
          </w:r>
          <w:r>
            <w:rPr>
              <w:rFonts w:hint="eastAsia" w:ascii="楷体" w:hAnsi="楷体" w:eastAsia="楷体" w:cs="楷体"/>
              <w:bCs/>
              <w:sz w:val="28"/>
              <w:szCs w:val="28"/>
            </w:rPr>
            <w:t>（二）“十四五”形势</w:t>
          </w:r>
          <w:r>
            <w:rPr>
              <w:sz w:val="28"/>
              <w:szCs w:val="28"/>
            </w:rPr>
            <w:tab/>
          </w:r>
          <w:r>
            <w:rPr>
              <w:sz w:val="28"/>
              <w:szCs w:val="28"/>
            </w:rPr>
            <w:fldChar w:fldCharType="begin"/>
          </w:r>
          <w:r>
            <w:rPr>
              <w:sz w:val="28"/>
              <w:szCs w:val="28"/>
            </w:rPr>
            <w:instrText xml:space="preserve"> PAGEREF _Toc27744 \h </w:instrText>
          </w:r>
          <w:r>
            <w:rPr>
              <w:sz w:val="28"/>
              <w:szCs w:val="28"/>
            </w:rPr>
            <w:fldChar w:fldCharType="separate"/>
          </w:r>
          <w:r>
            <w:rPr>
              <w:sz w:val="28"/>
              <w:szCs w:val="28"/>
            </w:rPr>
            <w:t>- 6 -</w:t>
          </w:r>
          <w:r>
            <w:rPr>
              <w:sz w:val="28"/>
              <w:szCs w:val="28"/>
            </w:rPr>
            <w:fldChar w:fldCharType="end"/>
          </w:r>
          <w:r>
            <w:rPr>
              <w:sz w:val="28"/>
              <w:szCs w:val="28"/>
            </w:rPr>
            <w:fldChar w:fldCharType="end"/>
          </w:r>
        </w:p>
        <w:p>
          <w:pPr>
            <w:pStyle w:val="12"/>
            <w:tabs>
              <w:tab w:val="right" w:leader="dot" w:pos="8306"/>
            </w:tabs>
            <w:spacing w:line="240" w:lineRule="auto"/>
            <w:rPr>
              <w:sz w:val="28"/>
              <w:szCs w:val="28"/>
            </w:rPr>
          </w:pPr>
          <w:r>
            <w:rPr>
              <w:sz w:val="28"/>
              <w:szCs w:val="28"/>
            </w:rPr>
            <w:fldChar w:fldCharType="begin"/>
          </w:r>
          <w:r>
            <w:rPr>
              <w:sz w:val="28"/>
              <w:szCs w:val="28"/>
            </w:rPr>
            <w:instrText xml:space="preserve"> HYPERLINK \l _Toc13245 </w:instrText>
          </w:r>
          <w:r>
            <w:rPr>
              <w:sz w:val="28"/>
              <w:szCs w:val="28"/>
            </w:rPr>
            <w:fldChar w:fldCharType="separate"/>
          </w:r>
          <w:r>
            <w:rPr>
              <w:rFonts w:hint="eastAsia" w:ascii="黑体" w:hAnsi="黑体" w:eastAsia="黑体" w:cs="仿宋"/>
              <w:sz w:val="28"/>
              <w:szCs w:val="28"/>
            </w:rPr>
            <w:t>二、总体要求</w:t>
          </w:r>
          <w:r>
            <w:rPr>
              <w:sz w:val="28"/>
              <w:szCs w:val="28"/>
            </w:rPr>
            <w:tab/>
          </w:r>
          <w:r>
            <w:rPr>
              <w:sz w:val="28"/>
              <w:szCs w:val="28"/>
            </w:rPr>
            <w:fldChar w:fldCharType="begin"/>
          </w:r>
          <w:r>
            <w:rPr>
              <w:sz w:val="28"/>
              <w:szCs w:val="28"/>
            </w:rPr>
            <w:instrText xml:space="preserve"> PAGEREF _Toc13245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_Toc26360 </w:instrText>
          </w:r>
          <w:r>
            <w:rPr>
              <w:sz w:val="28"/>
              <w:szCs w:val="28"/>
            </w:rPr>
            <w:fldChar w:fldCharType="separate"/>
          </w:r>
          <w:r>
            <w:rPr>
              <w:rFonts w:hint="eastAsia" w:ascii="楷体" w:hAnsi="楷体" w:eastAsia="楷体" w:cs="楷体"/>
              <w:bCs/>
              <w:sz w:val="28"/>
              <w:szCs w:val="28"/>
            </w:rPr>
            <w:t>（一）指导思想</w:t>
          </w:r>
          <w:r>
            <w:rPr>
              <w:sz w:val="28"/>
              <w:szCs w:val="28"/>
            </w:rPr>
            <w:tab/>
          </w:r>
          <w:r>
            <w:rPr>
              <w:sz w:val="28"/>
              <w:szCs w:val="28"/>
            </w:rPr>
            <w:fldChar w:fldCharType="begin"/>
          </w:r>
          <w:r>
            <w:rPr>
              <w:sz w:val="28"/>
              <w:szCs w:val="28"/>
            </w:rPr>
            <w:instrText xml:space="preserve"> PAGEREF _Toc26360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_Toc25726 </w:instrText>
          </w:r>
          <w:r>
            <w:rPr>
              <w:sz w:val="28"/>
              <w:szCs w:val="28"/>
            </w:rPr>
            <w:fldChar w:fldCharType="separate"/>
          </w:r>
          <w:r>
            <w:rPr>
              <w:rFonts w:hint="eastAsia" w:ascii="楷体" w:hAnsi="楷体" w:eastAsia="楷体" w:cs="楷体"/>
              <w:bCs/>
              <w:sz w:val="28"/>
              <w:szCs w:val="28"/>
            </w:rPr>
            <w:t>（二）基本原则</w:t>
          </w:r>
          <w:r>
            <w:rPr>
              <w:sz w:val="28"/>
              <w:szCs w:val="28"/>
            </w:rPr>
            <w:tab/>
          </w:r>
          <w:r>
            <w:rPr>
              <w:sz w:val="28"/>
              <w:szCs w:val="28"/>
            </w:rPr>
            <w:fldChar w:fldCharType="begin"/>
          </w:r>
          <w:r>
            <w:rPr>
              <w:sz w:val="28"/>
              <w:szCs w:val="28"/>
            </w:rPr>
            <w:instrText xml:space="preserve"> PAGEREF _Toc25726 \h </w:instrText>
          </w:r>
          <w:r>
            <w:rPr>
              <w:sz w:val="28"/>
              <w:szCs w:val="28"/>
            </w:rPr>
            <w:fldChar w:fldCharType="separate"/>
          </w:r>
          <w:r>
            <w:rPr>
              <w:sz w:val="28"/>
              <w:szCs w:val="28"/>
            </w:rPr>
            <w:t>- 8 -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_Toc19642 </w:instrText>
          </w:r>
          <w:r>
            <w:rPr>
              <w:sz w:val="28"/>
              <w:szCs w:val="28"/>
            </w:rPr>
            <w:fldChar w:fldCharType="separate"/>
          </w:r>
          <w:r>
            <w:rPr>
              <w:rFonts w:hint="eastAsia" w:ascii="楷体" w:hAnsi="楷体" w:eastAsia="楷体" w:cs="楷体"/>
              <w:bCs/>
              <w:sz w:val="28"/>
              <w:szCs w:val="28"/>
            </w:rPr>
            <w:t>（三）发展目标</w:t>
          </w:r>
          <w:r>
            <w:rPr>
              <w:sz w:val="28"/>
              <w:szCs w:val="28"/>
            </w:rPr>
            <w:tab/>
          </w:r>
          <w:r>
            <w:rPr>
              <w:sz w:val="28"/>
              <w:szCs w:val="28"/>
            </w:rPr>
            <w:fldChar w:fldCharType="begin"/>
          </w:r>
          <w:r>
            <w:rPr>
              <w:sz w:val="28"/>
              <w:szCs w:val="28"/>
            </w:rPr>
            <w:instrText xml:space="preserve"> PAGEREF _Toc19642 \h </w:instrText>
          </w:r>
          <w:r>
            <w:rPr>
              <w:sz w:val="28"/>
              <w:szCs w:val="28"/>
            </w:rPr>
            <w:fldChar w:fldCharType="separate"/>
          </w:r>
          <w:r>
            <w:rPr>
              <w:sz w:val="28"/>
              <w:szCs w:val="28"/>
            </w:rPr>
            <w:t>- 9 -</w:t>
          </w:r>
          <w:r>
            <w:rPr>
              <w:sz w:val="28"/>
              <w:szCs w:val="28"/>
            </w:rPr>
            <w:fldChar w:fldCharType="end"/>
          </w:r>
          <w:r>
            <w:rPr>
              <w:sz w:val="28"/>
              <w:szCs w:val="28"/>
            </w:rPr>
            <w:fldChar w:fldCharType="end"/>
          </w:r>
        </w:p>
        <w:p>
          <w:pPr>
            <w:pStyle w:val="12"/>
            <w:tabs>
              <w:tab w:val="right" w:leader="dot" w:pos="8306"/>
            </w:tabs>
            <w:spacing w:line="240" w:lineRule="auto"/>
            <w:rPr>
              <w:sz w:val="28"/>
              <w:szCs w:val="28"/>
            </w:rPr>
          </w:pPr>
          <w:r>
            <w:rPr>
              <w:sz w:val="28"/>
              <w:szCs w:val="28"/>
            </w:rPr>
            <w:fldChar w:fldCharType="begin"/>
          </w:r>
          <w:r>
            <w:rPr>
              <w:sz w:val="28"/>
              <w:szCs w:val="28"/>
            </w:rPr>
            <w:instrText xml:space="preserve"> HYPERLINK \l _Toc15954 </w:instrText>
          </w:r>
          <w:r>
            <w:rPr>
              <w:sz w:val="28"/>
              <w:szCs w:val="28"/>
            </w:rPr>
            <w:fldChar w:fldCharType="separate"/>
          </w:r>
          <w:r>
            <w:rPr>
              <w:rFonts w:hint="eastAsia" w:ascii="黑体" w:hAnsi="黑体" w:eastAsia="黑体" w:cs="仿宋"/>
              <w:sz w:val="28"/>
              <w:szCs w:val="28"/>
            </w:rPr>
            <w:t>三、主要任务与重点工程</w:t>
          </w:r>
          <w:r>
            <w:rPr>
              <w:sz w:val="28"/>
              <w:szCs w:val="28"/>
            </w:rPr>
            <w:tab/>
          </w:r>
          <w:r>
            <w:rPr>
              <w:sz w:val="28"/>
              <w:szCs w:val="28"/>
            </w:rPr>
            <w:fldChar w:fldCharType="begin"/>
          </w:r>
          <w:r>
            <w:rPr>
              <w:sz w:val="28"/>
              <w:szCs w:val="28"/>
            </w:rPr>
            <w:instrText xml:space="preserve"> PAGEREF _Toc15954 \h </w:instrText>
          </w:r>
          <w:r>
            <w:rPr>
              <w:sz w:val="28"/>
              <w:szCs w:val="28"/>
            </w:rPr>
            <w:fldChar w:fldCharType="separate"/>
          </w:r>
          <w:r>
            <w:rPr>
              <w:sz w:val="28"/>
              <w:szCs w:val="28"/>
            </w:rPr>
            <w:t>- 14 -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_Toc17551 </w:instrText>
          </w:r>
          <w:r>
            <w:rPr>
              <w:sz w:val="28"/>
              <w:szCs w:val="28"/>
            </w:rPr>
            <w:fldChar w:fldCharType="separate"/>
          </w:r>
          <w:r>
            <w:rPr>
              <w:rFonts w:hint="eastAsia" w:ascii="楷体" w:hAnsi="楷体" w:eastAsia="楷体" w:cs="楷体"/>
              <w:bCs/>
              <w:sz w:val="28"/>
              <w:szCs w:val="28"/>
            </w:rPr>
            <w:t>（一）建设新型信息</w:t>
          </w:r>
          <w:r>
            <w:rPr>
              <w:rFonts w:hint="eastAsia" w:ascii="楷体" w:hAnsi="楷体" w:eastAsia="楷体" w:cs="楷体"/>
              <w:bCs/>
              <w:sz w:val="28"/>
              <w:szCs w:val="28"/>
              <w:lang w:eastAsia="zh-CN"/>
            </w:rPr>
            <w:t>通信</w:t>
          </w:r>
          <w:r>
            <w:rPr>
              <w:rFonts w:hint="eastAsia" w:ascii="楷体" w:hAnsi="楷体" w:eastAsia="楷体" w:cs="楷体"/>
              <w:bCs/>
              <w:sz w:val="28"/>
              <w:szCs w:val="28"/>
            </w:rPr>
            <w:t>基础设施</w:t>
          </w:r>
          <w:r>
            <w:rPr>
              <w:sz w:val="28"/>
              <w:szCs w:val="28"/>
            </w:rPr>
            <w:tab/>
          </w:r>
          <w:r>
            <w:rPr>
              <w:sz w:val="28"/>
              <w:szCs w:val="28"/>
            </w:rPr>
            <w:fldChar w:fldCharType="begin"/>
          </w:r>
          <w:r>
            <w:rPr>
              <w:sz w:val="28"/>
              <w:szCs w:val="28"/>
            </w:rPr>
            <w:instrText xml:space="preserve"> PAGEREF _Toc17551 \h </w:instrText>
          </w:r>
          <w:r>
            <w:rPr>
              <w:sz w:val="28"/>
              <w:szCs w:val="28"/>
            </w:rPr>
            <w:fldChar w:fldCharType="separate"/>
          </w:r>
          <w:r>
            <w:rPr>
              <w:sz w:val="28"/>
              <w:szCs w:val="28"/>
            </w:rPr>
            <w:t>- 14 -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_Toc21236 </w:instrText>
          </w:r>
          <w:r>
            <w:rPr>
              <w:sz w:val="28"/>
              <w:szCs w:val="28"/>
            </w:rPr>
            <w:fldChar w:fldCharType="separate"/>
          </w:r>
          <w:r>
            <w:rPr>
              <w:rFonts w:hint="eastAsia" w:ascii="楷体" w:hAnsi="楷体" w:eastAsia="楷体" w:cs="楷体"/>
              <w:bCs/>
              <w:sz w:val="28"/>
              <w:szCs w:val="28"/>
            </w:rPr>
            <w:t>（二）提高数字化应用水平</w:t>
          </w:r>
          <w:r>
            <w:rPr>
              <w:sz w:val="28"/>
              <w:szCs w:val="28"/>
            </w:rPr>
            <w:tab/>
          </w:r>
          <w:r>
            <w:rPr>
              <w:sz w:val="28"/>
              <w:szCs w:val="28"/>
            </w:rPr>
            <w:fldChar w:fldCharType="begin"/>
          </w:r>
          <w:r>
            <w:rPr>
              <w:sz w:val="28"/>
              <w:szCs w:val="28"/>
            </w:rPr>
            <w:instrText xml:space="preserve"> PAGEREF _Toc21236 \h </w:instrText>
          </w:r>
          <w:r>
            <w:rPr>
              <w:sz w:val="28"/>
              <w:szCs w:val="28"/>
            </w:rPr>
            <w:fldChar w:fldCharType="separate"/>
          </w:r>
          <w:r>
            <w:rPr>
              <w:sz w:val="28"/>
              <w:szCs w:val="28"/>
            </w:rPr>
            <w:t>- 22 -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_Toc28131 </w:instrText>
          </w:r>
          <w:r>
            <w:rPr>
              <w:sz w:val="28"/>
              <w:szCs w:val="28"/>
            </w:rPr>
            <w:fldChar w:fldCharType="separate"/>
          </w:r>
          <w:r>
            <w:rPr>
              <w:rFonts w:hint="eastAsia" w:ascii="楷体" w:hAnsi="楷体" w:eastAsia="楷体" w:cs="楷体"/>
              <w:bCs/>
              <w:sz w:val="28"/>
              <w:szCs w:val="28"/>
            </w:rPr>
            <w:t>（三）构建新型监管体系</w:t>
          </w:r>
          <w:r>
            <w:rPr>
              <w:sz w:val="28"/>
              <w:szCs w:val="28"/>
            </w:rPr>
            <w:tab/>
          </w:r>
          <w:r>
            <w:rPr>
              <w:sz w:val="28"/>
              <w:szCs w:val="28"/>
            </w:rPr>
            <w:fldChar w:fldCharType="begin"/>
          </w:r>
          <w:r>
            <w:rPr>
              <w:sz w:val="28"/>
              <w:szCs w:val="28"/>
            </w:rPr>
            <w:instrText xml:space="preserve"> PAGEREF _Toc28131 \h </w:instrText>
          </w:r>
          <w:r>
            <w:rPr>
              <w:sz w:val="28"/>
              <w:szCs w:val="28"/>
            </w:rPr>
            <w:fldChar w:fldCharType="separate"/>
          </w:r>
          <w:r>
            <w:rPr>
              <w:sz w:val="28"/>
              <w:szCs w:val="28"/>
            </w:rPr>
            <w:t>- 26 -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_Toc3694 </w:instrText>
          </w:r>
          <w:r>
            <w:rPr>
              <w:sz w:val="28"/>
              <w:szCs w:val="28"/>
            </w:rPr>
            <w:fldChar w:fldCharType="separate"/>
          </w:r>
          <w:r>
            <w:rPr>
              <w:rFonts w:hint="eastAsia" w:ascii="楷体" w:hAnsi="楷体" w:eastAsia="楷体" w:cs="楷体"/>
              <w:bCs/>
              <w:sz w:val="28"/>
              <w:szCs w:val="28"/>
            </w:rPr>
            <w:t>（四）提升</w:t>
          </w:r>
          <w:r>
            <w:rPr>
              <w:rFonts w:hint="eastAsia" w:ascii="楷体" w:hAnsi="楷体" w:eastAsia="楷体" w:cs="楷体"/>
              <w:bCs/>
              <w:sz w:val="28"/>
              <w:szCs w:val="28"/>
              <w:lang w:eastAsia="zh-CN"/>
            </w:rPr>
            <w:t>行业</w:t>
          </w:r>
          <w:r>
            <w:rPr>
              <w:rFonts w:hint="eastAsia" w:ascii="楷体" w:hAnsi="楷体" w:eastAsia="楷体" w:cs="楷体"/>
              <w:bCs/>
              <w:sz w:val="28"/>
              <w:szCs w:val="28"/>
            </w:rPr>
            <w:t>服务水平</w:t>
          </w:r>
          <w:r>
            <w:rPr>
              <w:sz w:val="28"/>
              <w:szCs w:val="28"/>
            </w:rPr>
            <w:tab/>
          </w:r>
          <w:r>
            <w:rPr>
              <w:sz w:val="28"/>
              <w:szCs w:val="28"/>
            </w:rPr>
            <w:fldChar w:fldCharType="begin"/>
          </w:r>
          <w:r>
            <w:rPr>
              <w:sz w:val="28"/>
              <w:szCs w:val="28"/>
            </w:rPr>
            <w:instrText xml:space="preserve"> PAGEREF _Toc3694 \h </w:instrText>
          </w:r>
          <w:r>
            <w:rPr>
              <w:sz w:val="28"/>
              <w:szCs w:val="28"/>
            </w:rPr>
            <w:fldChar w:fldCharType="separate"/>
          </w:r>
          <w:r>
            <w:rPr>
              <w:sz w:val="28"/>
              <w:szCs w:val="28"/>
            </w:rPr>
            <w:t>- 30 -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_Toc19892 </w:instrText>
          </w:r>
          <w:r>
            <w:rPr>
              <w:sz w:val="28"/>
              <w:szCs w:val="28"/>
            </w:rPr>
            <w:fldChar w:fldCharType="separate"/>
          </w:r>
          <w:r>
            <w:rPr>
              <w:rFonts w:hint="eastAsia" w:ascii="楷体" w:hAnsi="楷体" w:eastAsia="楷体" w:cs="楷体"/>
              <w:bCs/>
              <w:sz w:val="28"/>
              <w:szCs w:val="28"/>
            </w:rPr>
            <w:t>（五）强化网络安全保障</w:t>
          </w:r>
          <w:r>
            <w:rPr>
              <w:rFonts w:hint="eastAsia" w:ascii="楷体" w:hAnsi="楷体" w:eastAsia="楷体" w:cs="楷体"/>
              <w:bCs/>
              <w:sz w:val="28"/>
              <w:szCs w:val="28"/>
              <w:lang w:eastAsia="zh-CN"/>
            </w:rPr>
            <w:t>体系</w:t>
          </w:r>
          <w:r>
            <w:rPr>
              <w:sz w:val="28"/>
              <w:szCs w:val="28"/>
            </w:rPr>
            <w:tab/>
          </w:r>
          <w:r>
            <w:rPr>
              <w:sz w:val="28"/>
              <w:szCs w:val="28"/>
            </w:rPr>
            <w:fldChar w:fldCharType="begin"/>
          </w:r>
          <w:r>
            <w:rPr>
              <w:sz w:val="28"/>
              <w:szCs w:val="28"/>
            </w:rPr>
            <w:instrText xml:space="preserve"> PAGEREF _Toc19892 \h </w:instrText>
          </w:r>
          <w:r>
            <w:rPr>
              <w:sz w:val="28"/>
              <w:szCs w:val="28"/>
            </w:rPr>
            <w:fldChar w:fldCharType="separate"/>
          </w:r>
          <w:r>
            <w:rPr>
              <w:sz w:val="28"/>
              <w:szCs w:val="28"/>
            </w:rPr>
            <w:t>- 32 -</w:t>
          </w:r>
          <w:r>
            <w:rPr>
              <w:sz w:val="28"/>
              <w:szCs w:val="28"/>
            </w:rPr>
            <w:fldChar w:fldCharType="end"/>
          </w:r>
          <w:r>
            <w:rPr>
              <w:sz w:val="28"/>
              <w:szCs w:val="28"/>
            </w:rPr>
            <w:fldChar w:fldCharType="end"/>
          </w:r>
        </w:p>
        <w:p>
          <w:pPr>
            <w:pStyle w:val="12"/>
            <w:tabs>
              <w:tab w:val="right" w:leader="dot" w:pos="8306"/>
            </w:tabs>
            <w:spacing w:line="240" w:lineRule="auto"/>
            <w:rPr>
              <w:sz w:val="28"/>
              <w:szCs w:val="28"/>
            </w:rPr>
          </w:pPr>
          <w:r>
            <w:rPr>
              <w:sz w:val="28"/>
              <w:szCs w:val="28"/>
            </w:rPr>
            <w:fldChar w:fldCharType="begin"/>
          </w:r>
          <w:r>
            <w:rPr>
              <w:sz w:val="28"/>
              <w:szCs w:val="28"/>
            </w:rPr>
            <w:instrText xml:space="preserve"> HYPERLINK \l _Toc3680 </w:instrText>
          </w:r>
          <w:r>
            <w:rPr>
              <w:sz w:val="28"/>
              <w:szCs w:val="28"/>
            </w:rPr>
            <w:fldChar w:fldCharType="separate"/>
          </w:r>
          <w:r>
            <w:rPr>
              <w:rFonts w:hint="eastAsia" w:ascii="黑体" w:hAnsi="黑体" w:eastAsia="黑体" w:cs="仿宋"/>
              <w:sz w:val="28"/>
              <w:szCs w:val="28"/>
            </w:rPr>
            <w:t>四、支撑保障措施</w:t>
          </w:r>
          <w:r>
            <w:rPr>
              <w:sz w:val="28"/>
              <w:szCs w:val="28"/>
            </w:rPr>
            <w:tab/>
          </w:r>
          <w:r>
            <w:rPr>
              <w:sz w:val="28"/>
              <w:szCs w:val="28"/>
            </w:rPr>
            <w:fldChar w:fldCharType="begin"/>
          </w:r>
          <w:r>
            <w:rPr>
              <w:sz w:val="28"/>
              <w:szCs w:val="28"/>
            </w:rPr>
            <w:instrText xml:space="preserve"> PAGEREF _Toc3680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_Toc27990 </w:instrText>
          </w:r>
          <w:r>
            <w:rPr>
              <w:sz w:val="28"/>
              <w:szCs w:val="28"/>
            </w:rPr>
            <w:fldChar w:fldCharType="separate"/>
          </w:r>
          <w:r>
            <w:rPr>
              <w:rFonts w:hint="eastAsia" w:ascii="楷体" w:hAnsi="楷体" w:eastAsia="楷体" w:cs="楷体"/>
              <w:bCs/>
              <w:sz w:val="28"/>
              <w:szCs w:val="28"/>
            </w:rPr>
            <w:t>（一）强化规划组织实施</w:t>
          </w:r>
          <w:r>
            <w:rPr>
              <w:sz w:val="28"/>
              <w:szCs w:val="28"/>
            </w:rPr>
            <w:tab/>
          </w:r>
          <w:r>
            <w:rPr>
              <w:sz w:val="28"/>
              <w:szCs w:val="28"/>
            </w:rPr>
            <w:fldChar w:fldCharType="begin"/>
          </w:r>
          <w:r>
            <w:rPr>
              <w:sz w:val="28"/>
              <w:szCs w:val="28"/>
            </w:rPr>
            <w:instrText xml:space="preserve"> PAGEREF _Toc27990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_Toc22579 </w:instrText>
          </w:r>
          <w:r>
            <w:rPr>
              <w:sz w:val="28"/>
              <w:szCs w:val="28"/>
            </w:rPr>
            <w:fldChar w:fldCharType="separate"/>
          </w:r>
          <w:r>
            <w:rPr>
              <w:rFonts w:hint="eastAsia" w:ascii="楷体" w:hAnsi="楷体" w:eastAsia="楷体" w:cs="楷体"/>
              <w:bCs/>
              <w:sz w:val="28"/>
              <w:szCs w:val="28"/>
            </w:rPr>
            <w:t>（二）贯彻落实政策标准</w:t>
          </w:r>
          <w:r>
            <w:rPr>
              <w:sz w:val="28"/>
              <w:szCs w:val="28"/>
            </w:rPr>
            <w:tab/>
          </w:r>
          <w:r>
            <w:rPr>
              <w:sz w:val="28"/>
              <w:szCs w:val="28"/>
            </w:rPr>
            <w:fldChar w:fldCharType="begin"/>
          </w:r>
          <w:r>
            <w:rPr>
              <w:sz w:val="28"/>
              <w:szCs w:val="28"/>
            </w:rPr>
            <w:instrText xml:space="preserve"> PAGEREF _Toc22579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_Toc78 </w:instrText>
          </w:r>
          <w:r>
            <w:rPr>
              <w:sz w:val="28"/>
              <w:szCs w:val="28"/>
            </w:rPr>
            <w:fldChar w:fldCharType="separate"/>
          </w:r>
          <w:r>
            <w:rPr>
              <w:rFonts w:hint="eastAsia" w:ascii="楷体" w:hAnsi="楷体" w:eastAsia="楷体" w:cs="楷体"/>
              <w:bCs/>
              <w:sz w:val="28"/>
              <w:szCs w:val="28"/>
            </w:rPr>
            <w:t>（三）</w:t>
          </w:r>
          <w:r>
            <w:rPr>
              <w:rFonts w:hint="eastAsia" w:ascii="楷体" w:hAnsi="楷体" w:eastAsia="楷体" w:cs="楷体"/>
              <w:bCs/>
              <w:sz w:val="28"/>
              <w:szCs w:val="28"/>
              <w:lang w:eastAsia="zh-CN"/>
            </w:rPr>
            <w:t>积极引导多方支持</w:t>
          </w:r>
          <w:r>
            <w:rPr>
              <w:sz w:val="28"/>
              <w:szCs w:val="28"/>
            </w:rPr>
            <w:tab/>
          </w:r>
          <w:r>
            <w:rPr>
              <w:sz w:val="28"/>
              <w:szCs w:val="28"/>
            </w:rPr>
            <w:fldChar w:fldCharType="begin"/>
          </w:r>
          <w:r>
            <w:rPr>
              <w:sz w:val="28"/>
              <w:szCs w:val="28"/>
            </w:rPr>
            <w:instrText xml:space="preserve"> PAGEREF _Toc78 \h </w:instrText>
          </w:r>
          <w:r>
            <w:rPr>
              <w:sz w:val="28"/>
              <w:szCs w:val="28"/>
            </w:rPr>
            <w:fldChar w:fldCharType="separate"/>
          </w:r>
          <w:r>
            <w:rPr>
              <w:sz w:val="28"/>
              <w:szCs w:val="28"/>
            </w:rPr>
            <w:t>- 37 -</w:t>
          </w:r>
          <w:r>
            <w:rPr>
              <w:sz w:val="28"/>
              <w:szCs w:val="28"/>
            </w:rPr>
            <w:fldChar w:fldCharType="end"/>
          </w:r>
          <w:r>
            <w:rPr>
              <w:sz w:val="28"/>
              <w:szCs w:val="28"/>
            </w:rPr>
            <w:fldChar w:fldCharType="end"/>
          </w:r>
        </w:p>
        <w:p>
          <w:pPr>
            <w:pStyle w:val="15"/>
            <w:tabs>
              <w:tab w:val="right" w:leader="dot" w:pos="8306"/>
            </w:tabs>
            <w:spacing w:line="240" w:lineRule="auto"/>
            <w:rPr>
              <w:sz w:val="28"/>
              <w:szCs w:val="28"/>
            </w:rPr>
          </w:pPr>
          <w:r>
            <w:rPr>
              <w:sz w:val="28"/>
              <w:szCs w:val="28"/>
            </w:rPr>
            <w:fldChar w:fldCharType="begin"/>
          </w:r>
          <w:r>
            <w:rPr>
              <w:sz w:val="28"/>
              <w:szCs w:val="28"/>
            </w:rPr>
            <w:instrText xml:space="preserve"> HYPERLINK \l _Toc3606 </w:instrText>
          </w:r>
          <w:r>
            <w:rPr>
              <w:sz w:val="28"/>
              <w:szCs w:val="28"/>
            </w:rPr>
            <w:fldChar w:fldCharType="separate"/>
          </w:r>
          <w:r>
            <w:rPr>
              <w:rFonts w:hint="eastAsia" w:ascii="楷体" w:hAnsi="楷体" w:eastAsia="楷体" w:cs="楷体"/>
              <w:bCs/>
              <w:sz w:val="28"/>
              <w:szCs w:val="28"/>
            </w:rPr>
            <w:t>（四）加强专业人才队伍建设</w:t>
          </w:r>
          <w:r>
            <w:rPr>
              <w:sz w:val="28"/>
              <w:szCs w:val="28"/>
            </w:rPr>
            <w:tab/>
          </w:r>
          <w:r>
            <w:rPr>
              <w:sz w:val="28"/>
              <w:szCs w:val="28"/>
            </w:rPr>
            <w:fldChar w:fldCharType="begin"/>
          </w:r>
          <w:r>
            <w:rPr>
              <w:sz w:val="28"/>
              <w:szCs w:val="28"/>
            </w:rPr>
            <w:instrText xml:space="preserve"> PAGEREF _Toc3606 \h </w:instrText>
          </w:r>
          <w:r>
            <w:rPr>
              <w:sz w:val="28"/>
              <w:szCs w:val="28"/>
            </w:rPr>
            <w:fldChar w:fldCharType="separate"/>
          </w:r>
          <w:r>
            <w:rPr>
              <w:sz w:val="28"/>
              <w:szCs w:val="28"/>
            </w:rPr>
            <w:t>- 37 -</w:t>
          </w:r>
          <w:r>
            <w:rPr>
              <w:sz w:val="28"/>
              <w:szCs w:val="28"/>
            </w:rPr>
            <w:fldChar w:fldCharType="end"/>
          </w:r>
          <w:r>
            <w:rPr>
              <w:sz w:val="28"/>
              <w:szCs w:val="28"/>
            </w:rPr>
            <w:fldChar w:fldCharType="end"/>
          </w:r>
        </w:p>
        <w:p>
          <w:pPr>
            <w:pStyle w:val="12"/>
            <w:tabs>
              <w:tab w:val="right" w:leader="dot" w:pos="8306"/>
            </w:tabs>
            <w:spacing w:line="240" w:lineRule="auto"/>
          </w:pPr>
          <w:r>
            <w:rPr>
              <w:sz w:val="28"/>
              <w:szCs w:val="28"/>
            </w:rPr>
            <w:fldChar w:fldCharType="begin"/>
          </w:r>
          <w:r>
            <w:rPr>
              <w:sz w:val="28"/>
              <w:szCs w:val="28"/>
            </w:rPr>
            <w:instrText xml:space="preserve"> HYPERLINK \l _Toc20963 </w:instrText>
          </w:r>
          <w:r>
            <w:rPr>
              <w:sz w:val="28"/>
              <w:szCs w:val="28"/>
            </w:rPr>
            <w:fldChar w:fldCharType="separate"/>
          </w:r>
          <w:r>
            <w:rPr>
              <w:rFonts w:hint="eastAsia" w:ascii="仿宋" w:hAnsi="仿宋" w:eastAsia="仿宋_GB2312" w:cs="仿宋"/>
              <w:bCs/>
              <w:sz w:val="28"/>
              <w:szCs w:val="28"/>
            </w:rPr>
            <w:t>英文缩写释义</w:t>
          </w:r>
          <w:r>
            <w:rPr>
              <w:sz w:val="28"/>
              <w:szCs w:val="28"/>
            </w:rPr>
            <w:tab/>
          </w:r>
          <w:r>
            <w:rPr>
              <w:sz w:val="28"/>
              <w:szCs w:val="28"/>
            </w:rPr>
            <w:fldChar w:fldCharType="begin"/>
          </w:r>
          <w:r>
            <w:rPr>
              <w:sz w:val="28"/>
              <w:szCs w:val="28"/>
            </w:rPr>
            <w:instrText xml:space="preserve"> PAGEREF _Toc20963 \h </w:instrText>
          </w:r>
          <w:r>
            <w:rPr>
              <w:sz w:val="28"/>
              <w:szCs w:val="28"/>
            </w:rPr>
            <w:fldChar w:fldCharType="separate"/>
          </w:r>
          <w:r>
            <w:rPr>
              <w:sz w:val="28"/>
              <w:szCs w:val="28"/>
            </w:rPr>
            <w:t>- 39 -</w:t>
          </w:r>
          <w:r>
            <w:rPr>
              <w:sz w:val="28"/>
              <w:szCs w:val="28"/>
            </w:rPr>
            <w:fldChar w:fldCharType="end"/>
          </w:r>
          <w:r>
            <w:rPr>
              <w:sz w:val="28"/>
              <w:szCs w:val="28"/>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Cs w:val="5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_GB2312" w:cs="仿宋"/>
              <w:iCs/>
              <w:sz w:val="32"/>
              <w:szCs w:val="32"/>
            </w:rPr>
          </w:pPr>
          <w:r>
            <w:rPr>
              <w:szCs w:val="52"/>
            </w:rPr>
            <w:fldChar w:fldCharType="end"/>
          </w:r>
          <w:bookmarkStart w:id="0" w:name="_Toc12523"/>
          <w:bookmarkEnd w:id="0"/>
          <w:bookmarkStart w:id="1" w:name="_Toc11028"/>
          <w:bookmarkEnd w:id="1"/>
          <w:bookmarkStart w:id="2" w:name="_Toc11114"/>
          <w:bookmarkEnd w:id="2"/>
          <w:bookmarkStart w:id="3" w:name="_Toc27228"/>
          <w:bookmarkStart w:id="4" w:name="_Toc5077"/>
          <w:bookmarkStart w:id="5" w:name="_Toc25332"/>
        </w:p>
      </w:sdtContent>
    </w:sdt>
    <w:p>
      <w:pPr>
        <w:spacing w:line="360" w:lineRule="auto"/>
        <w:ind w:firstLine="640" w:firstLineChars="200"/>
        <w:rPr>
          <w:rFonts w:ascii="仿宋" w:hAnsi="仿宋" w:eastAsia="仿宋_GB2312" w:cs="仿宋"/>
          <w:iCs/>
          <w:sz w:val="32"/>
          <w:szCs w:val="32"/>
        </w:rPr>
      </w:pPr>
      <w:r>
        <w:rPr>
          <w:rFonts w:hint="eastAsia" w:ascii="仿宋" w:hAnsi="仿宋" w:eastAsia="仿宋_GB2312" w:cs="仿宋"/>
          <w:iCs/>
          <w:sz w:val="32"/>
          <w:szCs w:val="32"/>
        </w:rPr>
        <w:t>“十四五”时期是落实习近平总书记在湖南考察时的重要讲话精神，践行数字中国、网络强国、制造强国等重大战略，实施“三高四新”战略，打造中部地区崛起的重要增长极、长江中下游密切合作的高效经济带、粤港澳大湾区战略合作区、西部陆海往来双向大通道，谱写新时代坚持和发展中国特色社会主义湖南新篇章的关键期，在此形势下，</w:t>
      </w:r>
      <w:r>
        <w:rPr>
          <w:rFonts w:hint="eastAsia" w:ascii="仿宋" w:hAnsi="仿宋" w:eastAsia="仿宋_GB2312" w:cs="仿宋"/>
          <w:iCs/>
          <w:sz w:val="32"/>
          <w:szCs w:val="32"/>
          <w:lang w:eastAsia="zh-CN"/>
        </w:rPr>
        <w:t>信息通信业</w:t>
      </w:r>
      <w:r>
        <w:rPr>
          <w:rFonts w:hint="eastAsia" w:ascii="仿宋" w:hAnsi="仿宋" w:eastAsia="仿宋_GB2312" w:cs="仿宋"/>
          <w:iCs/>
          <w:sz w:val="32"/>
          <w:szCs w:val="32"/>
        </w:rPr>
        <w:t>发展面临前所未有的机遇和挑战。</w:t>
      </w:r>
    </w:p>
    <w:p>
      <w:pPr>
        <w:tabs>
          <w:tab w:val="left" w:pos="720"/>
        </w:tabs>
        <w:spacing w:before="200" w:after="300" w:line="360" w:lineRule="auto"/>
        <w:ind w:firstLine="640" w:firstLineChars="200"/>
        <w:rPr>
          <w:rFonts w:ascii="仿宋" w:hAnsi="仿宋" w:eastAsia="仿宋_GB2312" w:cs="仿宋"/>
          <w:iCs/>
          <w:sz w:val="32"/>
          <w:szCs w:val="32"/>
        </w:rPr>
      </w:pPr>
      <w:r>
        <w:rPr>
          <w:rFonts w:hint="eastAsia" w:ascii="仿宋" w:hAnsi="仿宋" w:eastAsia="仿宋_GB2312" w:cs="仿宋"/>
          <w:iCs/>
          <w:sz w:val="32"/>
          <w:szCs w:val="32"/>
        </w:rPr>
        <w:t>规划立足</w:t>
      </w:r>
      <w:r>
        <w:rPr>
          <w:rFonts w:hint="eastAsia" w:ascii="仿宋" w:hAnsi="仿宋" w:eastAsia="仿宋_GB2312" w:cs="仿宋"/>
          <w:iCs/>
          <w:sz w:val="32"/>
          <w:szCs w:val="32"/>
          <w:lang w:eastAsia="zh-CN"/>
        </w:rPr>
        <w:t>于指导行业把握机遇实现高质量发展，立足于加快构建系统完备、高效实用、智能绿色、安全可靠的现代化信息通信基础设施体系，立足于发挥信息通信业引领作用支撑经济和社会发展，立足于提高行业主管部门履职能力推进行业治理体系和治理能力现代化。</w:t>
      </w:r>
    </w:p>
    <w:p>
      <w:pPr>
        <w:tabs>
          <w:tab w:val="left" w:pos="720"/>
        </w:tabs>
        <w:spacing w:before="200" w:after="300" w:line="360" w:lineRule="auto"/>
        <w:ind w:firstLine="640" w:firstLineChars="200"/>
        <w:rPr>
          <w:rFonts w:ascii="仿宋" w:hAnsi="仿宋" w:eastAsia="仿宋_GB2312" w:cs="仿宋"/>
          <w:iCs/>
          <w:sz w:val="32"/>
          <w:szCs w:val="32"/>
        </w:rPr>
      </w:pPr>
      <w:r>
        <w:rPr>
          <w:rFonts w:hint="eastAsia" w:ascii="仿宋" w:hAnsi="仿宋" w:eastAsia="仿宋_GB2312" w:cs="仿宋"/>
          <w:iCs/>
          <w:sz w:val="32"/>
          <w:szCs w:val="32"/>
        </w:rPr>
        <w:t>本规划根据《信息通信行业发展规划（2021-2025年）》、《</w:t>
      </w:r>
      <w:r>
        <w:rPr>
          <w:rFonts w:hint="eastAsia" w:ascii="仿宋" w:hAnsi="仿宋" w:eastAsia="仿宋_GB2312" w:cs="仿宋"/>
          <w:iCs/>
          <w:sz w:val="32"/>
          <w:szCs w:val="32"/>
          <w:lang w:eastAsia="zh-CN"/>
        </w:rPr>
        <w:t>信息通信规划工作管理办法</w:t>
      </w:r>
      <w:r>
        <w:rPr>
          <w:rFonts w:hint="eastAsia" w:ascii="仿宋" w:hAnsi="仿宋" w:eastAsia="仿宋_GB2312" w:cs="仿宋"/>
          <w:iCs/>
          <w:sz w:val="32"/>
          <w:szCs w:val="32"/>
        </w:rPr>
        <w:t>》</w:t>
      </w:r>
      <w:r>
        <w:rPr>
          <w:rFonts w:hint="eastAsia" w:ascii="仿宋" w:hAnsi="仿宋" w:eastAsia="仿宋_GB2312" w:cs="仿宋"/>
          <w:iCs/>
          <w:sz w:val="32"/>
          <w:szCs w:val="32"/>
          <w:lang w:eastAsia="zh-CN"/>
        </w:rPr>
        <w:t>（工信部通信</w:t>
      </w:r>
      <w:r>
        <w:rPr>
          <w:rFonts w:hint="eastAsia" w:ascii="仿宋" w:hAnsi="仿宋" w:eastAsia="仿宋" w:cs="仿宋"/>
          <w:iCs/>
          <w:sz w:val="32"/>
          <w:szCs w:val="32"/>
          <w:lang w:eastAsia="zh-CN"/>
        </w:rPr>
        <w:t>〔</w:t>
      </w:r>
      <w:r>
        <w:rPr>
          <w:rFonts w:hint="eastAsia" w:ascii="仿宋" w:hAnsi="仿宋" w:eastAsia="仿宋_GB2312" w:cs="仿宋"/>
          <w:iCs/>
          <w:sz w:val="32"/>
          <w:szCs w:val="32"/>
          <w:lang w:val="en-US" w:eastAsia="zh-CN"/>
        </w:rPr>
        <w:t>2017</w:t>
      </w:r>
      <w:r>
        <w:rPr>
          <w:rFonts w:hint="eastAsia" w:ascii="仿宋" w:hAnsi="仿宋" w:eastAsia="仿宋" w:cs="仿宋"/>
          <w:iCs/>
          <w:sz w:val="32"/>
          <w:szCs w:val="32"/>
          <w:lang w:eastAsia="zh-CN"/>
        </w:rPr>
        <w:t>〕</w:t>
      </w:r>
      <w:r>
        <w:rPr>
          <w:rFonts w:hint="eastAsia" w:ascii="仿宋" w:hAnsi="仿宋" w:eastAsia="仿宋_GB2312" w:cs="仿宋"/>
          <w:iCs/>
          <w:sz w:val="32"/>
          <w:szCs w:val="32"/>
          <w:lang w:val="en-US" w:eastAsia="zh-CN"/>
        </w:rPr>
        <w:t>245号</w:t>
      </w:r>
      <w:r>
        <w:rPr>
          <w:rFonts w:hint="eastAsia" w:ascii="仿宋" w:hAnsi="仿宋" w:eastAsia="仿宋_GB2312" w:cs="仿宋"/>
          <w:iCs/>
          <w:sz w:val="32"/>
          <w:szCs w:val="32"/>
          <w:lang w:eastAsia="zh-CN"/>
        </w:rPr>
        <w:t>）</w:t>
      </w:r>
      <w:r>
        <w:rPr>
          <w:rFonts w:hint="eastAsia" w:ascii="仿宋" w:hAnsi="仿宋" w:eastAsia="仿宋_GB2312" w:cs="仿宋"/>
          <w:iCs/>
          <w:sz w:val="32"/>
          <w:szCs w:val="32"/>
        </w:rPr>
        <w:t>、《湖南省国民经济和社会发展第十四个五年规划和二〇三五年远景目标纲要》进行编制,是指导湖南</w:t>
      </w:r>
      <w:r>
        <w:rPr>
          <w:rFonts w:hint="eastAsia" w:ascii="仿宋" w:hAnsi="仿宋" w:eastAsia="仿宋_GB2312" w:cs="仿宋"/>
          <w:iCs/>
          <w:sz w:val="32"/>
          <w:szCs w:val="32"/>
          <w:lang w:eastAsia="zh-CN"/>
        </w:rPr>
        <w:t>信息通信业</w:t>
      </w:r>
      <w:r>
        <w:rPr>
          <w:rFonts w:hint="eastAsia" w:ascii="仿宋" w:hAnsi="仿宋" w:eastAsia="仿宋_GB2312" w:cs="仿宋"/>
          <w:iCs/>
          <w:sz w:val="32"/>
          <w:szCs w:val="32"/>
        </w:rPr>
        <w:t>未来五年发展建设及应用的重要依据。</w:t>
      </w:r>
    </w:p>
    <w:p>
      <w:pPr>
        <w:rPr>
          <w:rFonts w:ascii="仿宋" w:hAnsi="仿宋" w:eastAsia="仿宋_GB2312" w:cs="仿宋"/>
          <w:iCs/>
          <w:sz w:val="32"/>
          <w:szCs w:val="32"/>
        </w:rPr>
      </w:pPr>
      <w:r>
        <w:rPr>
          <w:rFonts w:hint="eastAsia" w:ascii="仿宋" w:hAnsi="仿宋" w:eastAsia="仿宋_GB2312" w:cs="仿宋"/>
          <w:iCs/>
          <w:sz w:val="32"/>
          <w:szCs w:val="32"/>
        </w:rPr>
        <w:br w:type="page"/>
      </w:r>
    </w:p>
    <w:p>
      <w:pPr>
        <w:tabs>
          <w:tab w:val="left" w:pos="720"/>
        </w:tabs>
        <w:spacing w:before="200" w:after="300" w:line="360" w:lineRule="auto"/>
        <w:ind w:firstLine="643" w:firstLineChars="200"/>
        <w:jc w:val="left"/>
        <w:outlineLvl w:val="0"/>
        <w:rPr>
          <w:rFonts w:ascii="黑体" w:hAnsi="黑体" w:eastAsia="黑体" w:cs="仿宋"/>
          <w:b/>
          <w:sz w:val="32"/>
          <w:szCs w:val="32"/>
        </w:rPr>
      </w:pPr>
      <w:bookmarkStart w:id="6" w:name="_Toc5982"/>
      <w:bookmarkStart w:id="7" w:name="_Toc23522"/>
      <w:bookmarkStart w:id="8" w:name="_Toc11837"/>
      <w:bookmarkStart w:id="9" w:name="_Toc32499"/>
      <w:bookmarkStart w:id="10" w:name="_Toc7180"/>
      <w:r>
        <w:rPr>
          <w:rFonts w:hint="eastAsia" w:ascii="黑体" w:hAnsi="黑体" w:eastAsia="黑体" w:cs="仿宋"/>
          <w:b/>
          <w:sz w:val="32"/>
          <w:szCs w:val="32"/>
        </w:rPr>
        <w:t>一、发展回顾及面临形势</w:t>
      </w:r>
      <w:bookmarkEnd w:id="3"/>
      <w:bookmarkEnd w:id="4"/>
      <w:bookmarkEnd w:id="6"/>
      <w:bookmarkEnd w:id="7"/>
      <w:bookmarkEnd w:id="8"/>
      <w:bookmarkEnd w:id="9"/>
      <w:bookmarkEnd w:id="10"/>
    </w:p>
    <w:p>
      <w:pPr>
        <w:spacing w:line="360" w:lineRule="auto"/>
        <w:ind w:firstLine="643" w:firstLineChars="200"/>
        <w:outlineLvl w:val="1"/>
        <w:rPr>
          <w:rFonts w:hint="eastAsia" w:ascii="楷体" w:hAnsi="楷体" w:eastAsia="楷体" w:cs="楷体"/>
          <w:b/>
          <w:bCs/>
          <w:sz w:val="32"/>
          <w:szCs w:val="32"/>
          <w:lang w:val="en-US" w:eastAsia="zh-CN"/>
        </w:rPr>
      </w:pPr>
      <w:bookmarkStart w:id="11" w:name="_Toc11930"/>
      <w:bookmarkStart w:id="12" w:name="_Toc17480"/>
      <w:bookmarkStart w:id="13" w:name="_Toc2856"/>
      <w:bookmarkStart w:id="14" w:name="_Toc7187"/>
      <w:bookmarkStart w:id="15" w:name="_Toc6248"/>
      <w:bookmarkStart w:id="16" w:name="_Toc19536"/>
      <w:bookmarkStart w:id="17" w:name="_Toc14559"/>
      <w:r>
        <w:rPr>
          <w:rFonts w:hint="eastAsia" w:ascii="楷体" w:hAnsi="楷体" w:eastAsia="楷体" w:cs="楷体"/>
          <w:b/>
          <w:bCs/>
          <w:sz w:val="32"/>
          <w:szCs w:val="32"/>
        </w:rPr>
        <w:t>（一）“十三五”</w:t>
      </w:r>
      <w:bookmarkEnd w:id="11"/>
      <w:bookmarkEnd w:id="12"/>
      <w:bookmarkEnd w:id="13"/>
      <w:bookmarkEnd w:id="14"/>
      <w:bookmarkEnd w:id="15"/>
      <w:bookmarkEnd w:id="16"/>
      <w:r>
        <w:rPr>
          <w:rFonts w:hint="eastAsia" w:ascii="楷体" w:hAnsi="楷体" w:eastAsia="楷体" w:cs="楷体"/>
          <w:b/>
          <w:bCs/>
          <w:sz w:val="32"/>
          <w:szCs w:val="32"/>
          <w:lang w:val="en-US" w:eastAsia="zh-CN"/>
        </w:rPr>
        <w:t>总结</w:t>
      </w:r>
      <w:bookmarkEnd w:id="17"/>
    </w:p>
    <w:p>
      <w:pPr>
        <w:spacing w:line="360" w:lineRule="auto"/>
        <w:ind w:firstLine="640" w:firstLineChars="200"/>
        <w:rPr>
          <w:rFonts w:ascii="仿宋" w:hAnsi="仿宋" w:eastAsia="仿宋_GB2312" w:cs="仿宋"/>
          <w:iCs/>
          <w:sz w:val="32"/>
          <w:szCs w:val="32"/>
        </w:rPr>
      </w:pPr>
      <w:r>
        <w:rPr>
          <w:rFonts w:hint="eastAsia" w:ascii="仿宋" w:hAnsi="仿宋" w:eastAsia="仿宋_GB2312" w:cs="仿宋"/>
          <w:iCs/>
          <w:sz w:val="32"/>
          <w:szCs w:val="32"/>
        </w:rPr>
        <w:t>“十三五”期间，湖南信息通信</w:t>
      </w:r>
      <w:r>
        <w:rPr>
          <w:rFonts w:hint="eastAsia" w:ascii="仿宋" w:hAnsi="仿宋" w:eastAsia="仿宋_GB2312" w:cs="仿宋"/>
          <w:iCs/>
          <w:sz w:val="32"/>
          <w:szCs w:val="32"/>
          <w:lang w:eastAsia="zh-CN"/>
        </w:rPr>
        <w:t>业认真落实网络强国、制造强国、国家大数据等重要战略部署，大力开展信息通信基础设施建设，积极推进网络设施向下一代互联网演进，不断夯实新型基础设施底座，有力支撑数字经济发展。全行业</w:t>
      </w:r>
      <w:r>
        <w:rPr>
          <w:rFonts w:hint="eastAsia" w:ascii="仿宋" w:hAnsi="仿宋" w:eastAsia="仿宋_GB2312" w:cs="仿宋"/>
          <w:iCs/>
          <w:sz w:val="32"/>
          <w:szCs w:val="32"/>
        </w:rPr>
        <w:t>实现平稳快速发展，主要规划目标提前完成，网络基础设施持续升级，服务供给能力显著增强，技术创新加速突破，增长动能加快转换，对湖南经济发展、社会治理的支撑引领作用愈加凸显。</w:t>
      </w:r>
    </w:p>
    <w:p>
      <w:pPr>
        <w:spacing w:line="360" w:lineRule="auto"/>
        <w:ind w:firstLine="643" w:firstLineChars="200"/>
        <w:outlineLvl w:val="2"/>
        <w:rPr>
          <w:rFonts w:ascii="仿宋" w:hAnsi="仿宋" w:eastAsia="仿宋_GB2312" w:cs="仿宋"/>
          <w:sz w:val="32"/>
          <w:szCs w:val="32"/>
        </w:rPr>
      </w:pPr>
      <w:bookmarkStart w:id="18" w:name="_Toc8025"/>
      <w:bookmarkStart w:id="19" w:name="_Toc25188"/>
      <w:r>
        <w:rPr>
          <w:rFonts w:hint="eastAsia" w:ascii="仿宋" w:hAnsi="仿宋" w:eastAsia="仿宋_GB2312" w:cs="仿宋"/>
          <w:b/>
          <w:bCs/>
          <w:sz w:val="32"/>
          <w:szCs w:val="32"/>
        </w:rPr>
        <w:t>1.信息通信发展平稳有序</w:t>
      </w:r>
      <w:bookmarkEnd w:id="18"/>
      <w:bookmarkEnd w:id="19"/>
      <w:r>
        <w:rPr>
          <w:rFonts w:hint="eastAsia" w:ascii="仿宋" w:hAnsi="仿宋" w:eastAsia="仿宋_GB2312" w:cs="仿宋"/>
          <w:b/>
          <w:bCs/>
          <w:sz w:val="32"/>
          <w:szCs w:val="32"/>
          <w:lang w:eastAsia="zh-CN"/>
        </w:rPr>
        <w:t>。</w:t>
      </w:r>
      <w:r>
        <w:rPr>
          <w:rFonts w:hint="eastAsia" w:ascii="仿宋" w:hAnsi="仿宋" w:eastAsia="仿宋_GB2312" w:cs="仿宋"/>
          <w:iCs/>
          <w:sz w:val="32"/>
          <w:szCs w:val="32"/>
        </w:rPr>
        <w:t>2</w:t>
      </w:r>
      <w:r>
        <w:rPr>
          <w:rFonts w:ascii="仿宋" w:hAnsi="仿宋" w:eastAsia="仿宋_GB2312" w:cs="仿宋"/>
          <w:iCs/>
          <w:sz w:val="32"/>
          <w:szCs w:val="32"/>
        </w:rPr>
        <w:t>020</w:t>
      </w:r>
      <w:r>
        <w:rPr>
          <w:rFonts w:hint="eastAsia" w:ascii="仿宋" w:hAnsi="仿宋" w:eastAsia="仿宋_GB2312" w:cs="仿宋"/>
          <w:iCs/>
          <w:sz w:val="32"/>
          <w:szCs w:val="32"/>
        </w:rPr>
        <w:t>年电信业务总量达到</w:t>
      </w:r>
      <w:r>
        <w:rPr>
          <w:rFonts w:ascii="仿宋" w:hAnsi="仿宋" w:eastAsia="仿宋_GB2312" w:cs="仿宋"/>
          <w:iCs/>
          <w:sz w:val="32"/>
          <w:szCs w:val="32"/>
        </w:rPr>
        <w:t>5670</w:t>
      </w:r>
      <w:r>
        <w:rPr>
          <w:rFonts w:hint="eastAsia" w:ascii="仿宋" w:hAnsi="仿宋" w:eastAsia="仿宋_GB2312" w:cs="仿宋"/>
          <w:iCs/>
          <w:sz w:val="32"/>
          <w:szCs w:val="32"/>
        </w:rPr>
        <w:t>亿元（2</w:t>
      </w:r>
      <w:r>
        <w:rPr>
          <w:rFonts w:ascii="仿宋" w:hAnsi="仿宋" w:eastAsia="仿宋_GB2312" w:cs="仿宋"/>
          <w:iCs/>
          <w:sz w:val="32"/>
          <w:szCs w:val="32"/>
        </w:rPr>
        <w:t>015</w:t>
      </w:r>
      <w:r>
        <w:rPr>
          <w:rFonts w:hint="eastAsia" w:ascii="仿宋" w:hAnsi="仿宋" w:eastAsia="仿宋_GB2312" w:cs="仿宋"/>
          <w:iCs/>
          <w:sz w:val="32"/>
          <w:szCs w:val="32"/>
        </w:rPr>
        <w:t>年不变单价），</w:t>
      </w:r>
      <w:r>
        <w:rPr>
          <w:rFonts w:hint="eastAsia" w:ascii="仿宋" w:hAnsi="仿宋" w:eastAsia="仿宋_GB2312" w:cs="仿宋"/>
          <w:sz w:val="32"/>
          <w:szCs w:val="32"/>
        </w:rPr>
        <w:t>全国排名第八，</w:t>
      </w:r>
      <w:r>
        <w:rPr>
          <w:rFonts w:hint="eastAsia" w:ascii="仿宋" w:hAnsi="仿宋" w:eastAsia="仿宋_GB2312" w:cs="仿宋"/>
          <w:iCs/>
          <w:sz w:val="32"/>
          <w:szCs w:val="32"/>
        </w:rPr>
        <w:t>年均增长4</w:t>
      </w:r>
      <w:r>
        <w:rPr>
          <w:rFonts w:ascii="仿宋" w:hAnsi="仿宋" w:eastAsia="仿宋_GB2312" w:cs="仿宋"/>
          <w:iCs/>
          <w:sz w:val="32"/>
          <w:szCs w:val="32"/>
        </w:rPr>
        <w:t>8</w:t>
      </w:r>
      <w:r>
        <w:rPr>
          <w:rFonts w:hint="eastAsia" w:ascii="仿宋" w:hAnsi="仿宋" w:eastAsia="仿宋_GB2312" w:cs="仿宋"/>
          <w:iCs/>
          <w:sz w:val="32"/>
          <w:szCs w:val="32"/>
        </w:rPr>
        <w:t>%</w:t>
      </w:r>
      <w:r>
        <w:rPr>
          <w:rFonts w:hint="eastAsia" w:ascii="仿宋" w:hAnsi="仿宋" w:eastAsia="仿宋_GB2312" w:cs="仿宋"/>
          <w:sz w:val="32"/>
          <w:szCs w:val="32"/>
        </w:rPr>
        <w:t>。</w:t>
      </w:r>
      <w:r>
        <w:rPr>
          <w:rFonts w:hint="eastAsia" w:ascii="仿宋" w:hAnsi="仿宋" w:eastAsia="仿宋_GB2312" w:cs="仿宋"/>
          <w:iCs/>
          <w:sz w:val="32"/>
          <w:szCs w:val="32"/>
        </w:rPr>
        <w:t>2</w:t>
      </w:r>
      <w:r>
        <w:rPr>
          <w:rFonts w:ascii="仿宋" w:hAnsi="仿宋" w:eastAsia="仿宋_GB2312" w:cs="仿宋"/>
          <w:iCs/>
          <w:sz w:val="32"/>
          <w:szCs w:val="32"/>
        </w:rPr>
        <w:t>020</w:t>
      </w:r>
      <w:r>
        <w:rPr>
          <w:rFonts w:hint="eastAsia" w:ascii="仿宋" w:hAnsi="仿宋" w:eastAsia="仿宋_GB2312" w:cs="仿宋"/>
          <w:iCs/>
          <w:sz w:val="32"/>
          <w:szCs w:val="32"/>
        </w:rPr>
        <w:t>年</w:t>
      </w:r>
      <w:r>
        <w:rPr>
          <w:rFonts w:hint="eastAsia" w:ascii="仿宋" w:hAnsi="仿宋" w:eastAsia="仿宋_GB2312" w:cs="仿宋"/>
          <w:iCs/>
          <w:color w:val="000000" w:themeColor="text1"/>
          <w:sz w:val="32"/>
          <w:szCs w:val="32"/>
          <w14:textFill>
            <w14:solidFill>
              <w14:schemeClr w14:val="tx1"/>
            </w14:solidFill>
          </w14:textFill>
        </w:rPr>
        <w:t>电信业务收入</w:t>
      </w:r>
      <w:r>
        <w:rPr>
          <w:rFonts w:ascii="仿宋" w:hAnsi="仿宋" w:eastAsia="仿宋_GB2312" w:cs="仿宋"/>
          <w:iCs/>
          <w:color w:val="000000" w:themeColor="text1"/>
          <w:sz w:val="32"/>
          <w:szCs w:val="32"/>
          <w14:textFill>
            <w14:solidFill>
              <w14:schemeClr w14:val="tx1"/>
            </w14:solidFill>
          </w14:textFill>
        </w:rPr>
        <w:t>47</w:t>
      </w:r>
      <w:r>
        <w:rPr>
          <w:rFonts w:hint="eastAsia" w:ascii="仿宋" w:hAnsi="仿宋" w:eastAsia="仿宋_GB2312" w:cs="仿宋"/>
          <w:iCs/>
          <w:color w:val="000000" w:themeColor="text1"/>
          <w:sz w:val="32"/>
          <w:szCs w:val="32"/>
          <w14:textFill>
            <w14:solidFill>
              <w14:schemeClr w14:val="tx1"/>
            </w14:solidFill>
          </w14:textFill>
        </w:rPr>
        <w:t>0亿元，</w:t>
      </w:r>
      <w:r>
        <w:rPr>
          <w:rFonts w:hint="eastAsia" w:ascii="仿宋" w:hAnsi="仿宋" w:eastAsia="仿宋_GB2312" w:cs="仿宋"/>
          <w:sz w:val="32"/>
          <w:szCs w:val="32"/>
        </w:rPr>
        <w:t>全国排名</w:t>
      </w:r>
      <w:r>
        <w:rPr>
          <w:rFonts w:hint="eastAsia" w:ascii="仿宋" w:hAnsi="仿宋" w:eastAsia="仿宋_GB2312" w:cs="仿宋"/>
          <w:iCs/>
          <w:color w:val="000000" w:themeColor="text1"/>
          <w:sz w:val="32"/>
          <w:szCs w:val="32"/>
          <w14:textFill>
            <w14:solidFill>
              <w14:schemeClr w14:val="tx1"/>
            </w14:solidFill>
          </w14:textFill>
        </w:rPr>
        <w:t>第十，</w:t>
      </w:r>
      <w:r>
        <w:rPr>
          <w:rFonts w:hint="eastAsia" w:ascii="仿宋" w:hAnsi="仿宋" w:eastAsia="仿宋_GB2312" w:cs="仿宋"/>
          <w:iCs/>
          <w:sz w:val="32"/>
          <w:szCs w:val="32"/>
        </w:rPr>
        <w:t>年均增长3%</w:t>
      </w:r>
      <w:r>
        <w:rPr>
          <w:rFonts w:hint="eastAsia" w:ascii="仿宋" w:hAnsi="仿宋" w:eastAsia="仿宋_GB2312" w:cs="仿宋"/>
          <w:iCs/>
          <w:sz w:val="32"/>
          <w:szCs w:val="32"/>
          <w:lang w:eastAsia="zh-CN"/>
        </w:rPr>
        <w:t>。</w:t>
      </w:r>
      <w:r>
        <w:rPr>
          <w:rFonts w:hint="eastAsia" w:ascii="仿宋" w:hAnsi="仿宋" w:eastAsia="仿宋_GB2312" w:cs="仿宋"/>
          <w:iCs/>
          <w:color w:val="auto"/>
          <w:sz w:val="32"/>
          <w:szCs w:val="32"/>
          <w:lang w:eastAsia="zh-CN"/>
        </w:rPr>
        <w:t>增值电信企业数量</w:t>
      </w:r>
      <w:r>
        <w:rPr>
          <w:rFonts w:hint="eastAsia" w:ascii="仿宋" w:hAnsi="仿宋" w:eastAsia="仿宋_GB2312" w:cs="仿宋"/>
          <w:iCs/>
          <w:color w:val="auto"/>
          <w:sz w:val="32"/>
          <w:szCs w:val="32"/>
          <w:lang w:val="en-US" w:eastAsia="zh-CN"/>
        </w:rPr>
        <w:t>928家，</w:t>
      </w:r>
      <w:r>
        <w:rPr>
          <w:rFonts w:ascii="仿宋" w:hAnsi="仿宋" w:eastAsia="仿宋_GB2312" w:cs="仿宋"/>
          <w:iCs/>
          <w:sz w:val="32"/>
          <w:szCs w:val="32"/>
        </w:rPr>
        <w:t>互联网业务收入230亿元，年均增长45%。</w:t>
      </w:r>
      <w:r>
        <w:rPr>
          <w:rFonts w:hint="eastAsia" w:ascii="仿宋" w:hAnsi="仿宋" w:eastAsia="仿宋_GB2312" w:cs="仿宋"/>
          <w:sz w:val="32"/>
          <w:szCs w:val="32"/>
        </w:rPr>
        <w:t>移动宽带用户普及率达到104%，4G用户</w:t>
      </w:r>
      <w:r>
        <w:rPr>
          <w:rFonts w:hint="eastAsia" w:ascii="仿宋" w:hAnsi="仿宋" w:eastAsia="仿宋_GB2312" w:cs="仿宋"/>
          <w:sz w:val="32"/>
          <w:szCs w:val="32"/>
          <w:lang w:eastAsia="zh-CN"/>
        </w:rPr>
        <w:t>占比持续提升，达到</w:t>
      </w:r>
      <w:r>
        <w:rPr>
          <w:rFonts w:hint="eastAsia" w:ascii="仿宋" w:hAnsi="仿宋" w:eastAsia="仿宋_GB2312" w:cs="仿宋"/>
          <w:sz w:val="32"/>
          <w:szCs w:val="32"/>
        </w:rPr>
        <w:t>81%</w:t>
      </w:r>
      <w:r>
        <w:rPr>
          <w:rFonts w:hint="eastAsia" w:ascii="仿宋" w:hAnsi="仿宋" w:eastAsia="仿宋_GB2312" w:cs="仿宋"/>
          <w:sz w:val="32"/>
          <w:szCs w:val="32"/>
          <w:lang w:eastAsia="zh-CN"/>
        </w:rPr>
        <w:t>。</w:t>
      </w:r>
      <w:r>
        <w:rPr>
          <w:rFonts w:hint="eastAsia" w:ascii="仿宋" w:hAnsi="仿宋" w:eastAsia="仿宋_GB2312" w:cs="仿宋"/>
          <w:sz w:val="32"/>
          <w:szCs w:val="32"/>
        </w:rPr>
        <w:t>5G用户快速增长，</w:t>
      </w:r>
      <w:r>
        <w:rPr>
          <w:rFonts w:hint="eastAsia" w:ascii="仿宋" w:hAnsi="仿宋" w:eastAsia="仿宋_GB2312" w:cs="仿宋"/>
          <w:sz w:val="32"/>
          <w:szCs w:val="32"/>
          <w:lang w:eastAsia="zh-CN"/>
        </w:rPr>
        <w:t>达</w:t>
      </w:r>
      <w:r>
        <w:rPr>
          <w:rFonts w:ascii="仿宋" w:hAnsi="仿宋" w:eastAsia="仿宋_GB2312" w:cs="仿宋"/>
          <w:sz w:val="32"/>
          <w:szCs w:val="32"/>
        </w:rPr>
        <w:t>1497</w:t>
      </w:r>
      <w:r>
        <w:rPr>
          <w:rFonts w:hint="eastAsia" w:ascii="仿宋" w:hAnsi="仿宋" w:eastAsia="仿宋_GB2312" w:cs="仿宋"/>
          <w:sz w:val="32"/>
          <w:szCs w:val="32"/>
        </w:rPr>
        <w:t>万户。固</w:t>
      </w:r>
      <w:r>
        <w:rPr>
          <w:rFonts w:hint="eastAsia" w:ascii="仿宋" w:hAnsi="仿宋" w:eastAsia="仿宋_GB2312" w:cs="仿宋"/>
          <w:color w:val="000000" w:themeColor="text1"/>
          <w:sz w:val="32"/>
          <w:szCs w:val="32"/>
          <w14:textFill>
            <w14:solidFill>
              <w14:schemeClr w14:val="tx1"/>
            </w14:solidFill>
          </w14:textFill>
        </w:rPr>
        <w:t>定宽</w:t>
      </w:r>
      <w:r>
        <w:rPr>
          <w:rFonts w:hint="eastAsia" w:ascii="仿宋" w:hAnsi="仿宋" w:eastAsia="仿宋_GB2312" w:cs="仿宋"/>
          <w:sz w:val="32"/>
          <w:szCs w:val="32"/>
        </w:rPr>
        <w:t>带家庭普及率达到96%。光纤接入用户占有线宽带用户比重9</w:t>
      </w:r>
      <w:r>
        <w:rPr>
          <w:rFonts w:ascii="仿宋" w:hAnsi="仿宋" w:eastAsia="仿宋_GB2312" w:cs="仿宋"/>
          <w:sz w:val="32"/>
          <w:szCs w:val="32"/>
        </w:rPr>
        <w:t>2</w:t>
      </w:r>
      <w:r>
        <w:rPr>
          <w:rFonts w:hint="eastAsia" w:ascii="仿宋" w:hAnsi="仿宋" w:eastAsia="仿宋_GB2312" w:cs="仿宋"/>
          <w:sz w:val="32"/>
          <w:szCs w:val="32"/>
        </w:rPr>
        <w:t>%，百兆宽带用户占比84%</w:t>
      </w:r>
      <w:r>
        <w:rPr>
          <w:rFonts w:hint="eastAsia" w:ascii="仿宋" w:hAnsi="仿宋" w:eastAsia="仿宋_GB2312" w:cs="仿宋"/>
          <w:color w:val="000000" w:themeColor="text1"/>
          <w:sz w:val="32"/>
          <w:szCs w:val="32"/>
          <w14:textFill>
            <w14:solidFill>
              <w14:schemeClr w14:val="tx1"/>
            </w14:solidFill>
          </w14:textFill>
        </w:rPr>
        <w:t>。</w:t>
      </w:r>
    </w:p>
    <w:p>
      <w:pPr>
        <w:widowControl/>
        <w:spacing w:line="360" w:lineRule="auto"/>
        <w:ind w:firstLine="643" w:firstLineChars="200"/>
        <w:outlineLvl w:val="2"/>
        <w:rPr>
          <w:rFonts w:ascii="仿宋" w:hAnsi="仿宋" w:eastAsia="仿宋_GB2312" w:cs="仿宋"/>
          <w:iCs/>
          <w:sz w:val="32"/>
          <w:szCs w:val="32"/>
        </w:rPr>
      </w:pPr>
      <w:bookmarkStart w:id="20" w:name="_Toc1911"/>
      <w:bookmarkStart w:id="21" w:name="_Toc3818"/>
      <w:r>
        <w:rPr>
          <w:rFonts w:hint="eastAsia" w:ascii="仿宋" w:hAnsi="仿宋" w:eastAsia="仿宋_GB2312" w:cs="仿宋"/>
          <w:b/>
          <w:bCs/>
          <w:sz w:val="32"/>
          <w:szCs w:val="32"/>
        </w:rPr>
        <w:t>2.数字基础设施能力快速提升</w:t>
      </w:r>
      <w:bookmarkEnd w:id="20"/>
      <w:bookmarkEnd w:id="21"/>
      <w:r>
        <w:rPr>
          <w:rFonts w:hint="eastAsia" w:ascii="仿宋" w:hAnsi="仿宋" w:eastAsia="仿宋_GB2312" w:cs="仿宋"/>
          <w:b/>
          <w:bCs/>
          <w:sz w:val="32"/>
          <w:szCs w:val="32"/>
          <w:lang w:eastAsia="zh-CN"/>
        </w:rPr>
        <w:t>。</w:t>
      </w:r>
      <w:r>
        <w:rPr>
          <w:rFonts w:hint="eastAsia" w:ascii="仿宋" w:hAnsi="仿宋" w:eastAsia="仿宋_GB2312" w:cs="仿宋"/>
          <w:b w:val="0"/>
          <w:bCs w:val="0"/>
          <w:iCs/>
          <w:sz w:val="32"/>
          <w:szCs w:val="32"/>
        </w:rPr>
        <w:t>网络</w:t>
      </w:r>
      <w:r>
        <w:rPr>
          <w:rFonts w:hint="eastAsia" w:ascii="仿宋" w:hAnsi="仿宋" w:eastAsia="仿宋_GB2312" w:cs="仿宋"/>
          <w:b w:val="0"/>
          <w:bCs w:val="0"/>
          <w:iCs/>
          <w:sz w:val="32"/>
          <w:szCs w:val="32"/>
          <w:lang w:eastAsia="zh-CN"/>
        </w:rPr>
        <w:t>能力方面，</w:t>
      </w:r>
      <w:r>
        <w:rPr>
          <w:rFonts w:hint="eastAsia" w:ascii="仿宋" w:hAnsi="仿宋" w:eastAsia="仿宋_GB2312" w:cs="仿宋"/>
          <w:iCs/>
          <w:sz w:val="32"/>
          <w:szCs w:val="32"/>
        </w:rPr>
        <w:t>互联网有线宽带接入端口</w:t>
      </w:r>
      <w:r>
        <w:rPr>
          <w:rFonts w:ascii="仿宋" w:hAnsi="仿宋" w:eastAsia="仿宋_GB2312" w:cs="仿宋"/>
          <w:iCs/>
          <w:sz w:val="32"/>
          <w:szCs w:val="32"/>
        </w:rPr>
        <w:t>3242</w:t>
      </w:r>
      <w:r>
        <w:rPr>
          <w:rFonts w:hint="eastAsia" w:ascii="仿宋" w:hAnsi="仿宋" w:eastAsia="仿宋_GB2312" w:cs="仿宋"/>
          <w:iCs/>
          <w:sz w:val="32"/>
          <w:szCs w:val="32"/>
        </w:rPr>
        <w:t>万个，其中光纤接入端口</w:t>
      </w:r>
      <w:r>
        <w:rPr>
          <w:rFonts w:ascii="仿宋" w:hAnsi="仿宋" w:eastAsia="仿宋_GB2312" w:cs="仿宋"/>
          <w:iCs/>
          <w:sz w:val="32"/>
          <w:szCs w:val="32"/>
        </w:rPr>
        <w:t>3051</w:t>
      </w:r>
      <w:r>
        <w:rPr>
          <w:rFonts w:hint="eastAsia" w:ascii="仿宋" w:hAnsi="仿宋" w:eastAsia="仿宋_GB2312" w:cs="仿宋"/>
          <w:iCs/>
          <w:sz w:val="32"/>
          <w:szCs w:val="32"/>
        </w:rPr>
        <w:t>万个，光纤接入端口占比提升至9</w:t>
      </w:r>
      <w:r>
        <w:rPr>
          <w:rFonts w:ascii="仿宋" w:hAnsi="仿宋" w:eastAsia="仿宋_GB2312" w:cs="仿宋"/>
          <w:iCs/>
          <w:sz w:val="32"/>
          <w:szCs w:val="32"/>
        </w:rPr>
        <w:t>4</w:t>
      </w:r>
      <w:r>
        <w:rPr>
          <w:rFonts w:hint="eastAsia" w:ascii="仿宋" w:hAnsi="仿宋" w:eastAsia="仿宋_GB2312" w:cs="仿宋"/>
          <w:iCs/>
          <w:sz w:val="32"/>
          <w:szCs w:val="32"/>
        </w:rPr>
        <w:t>%，光缆总长度214万皮长公里，较2015年增长51%。行政村通光纤比例100%，20户以上自然村通光纤比例超83%。4</w:t>
      </w:r>
      <w:r>
        <w:rPr>
          <w:rFonts w:ascii="仿宋" w:hAnsi="仿宋" w:eastAsia="仿宋_GB2312" w:cs="仿宋"/>
          <w:iCs/>
          <w:sz w:val="32"/>
          <w:szCs w:val="32"/>
        </w:rPr>
        <w:t>G</w:t>
      </w:r>
      <w:r>
        <w:rPr>
          <w:rFonts w:hint="eastAsia" w:ascii="仿宋" w:hAnsi="仿宋" w:eastAsia="仿宋_GB2312" w:cs="仿宋"/>
          <w:iCs/>
          <w:sz w:val="32"/>
          <w:szCs w:val="32"/>
        </w:rPr>
        <w:t>基站24万座，全国排名第八，行政村</w:t>
      </w:r>
      <w:r>
        <w:rPr>
          <w:rFonts w:hint="eastAsia" w:ascii="仿宋" w:hAnsi="仿宋" w:eastAsia="仿宋_GB2312" w:cs="仿宋"/>
          <w:iCs/>
          <w:sz w:val="32"/>
          <w:szCs w:val="32"/>
          <w:lang w:eastAsia="zh-CN"/>
        </w:rPr>
        <w:t>通</w:t>
      </w:r>
      <w:r>
        <w:rPr>
          <w:rFonts w:hint="eastAsia" w:ascii="仿宋" w:hAnsi="仿宋" w:eastAsia="仿宋_GB2312" w:cs="仿宋"/>
          <w:iCs/>
          <w:sz w:val="32"/>
          <w:szCs w:val="32"/>
        </w:rPr>
        <w:t>4G比例100%,20户以上自然村通4G比例95%。5G网络正式商用，建成5</w:t>
      </w:r>
      <w:r>
        <w:rPr>
          <w:rFonts w:ascii="仿宋" w:hAnsi="仿宋" w:eastAsia="仿宋_GB2312" w:cs="仿宋"/>
          <w:iCs/>
          <w:sz w:val="32"/>
          <w:szCs w:val="32"/>
        </w:rPr>
        <w:t>G</w:t>
      </w:r>
      <w:r>
        <w:rPr>
          <w:rFonts w:hint="eastAsia" w:ascii="仿宋" w:hAnsi="仿宋" w:eastAsia="仿宋_GB2312" w:cs="仿宋"/>
          <w:iCs/>
          <w:sz w:val="32"/>
          <w:szCs w:val="32"/>
        </w:rPr>
        <w:t>基站2.9万座，规模处于全国前列。建成NB-IoT基站7.8万座。出口带宽和质量稳步提升，互联网省际出口带宽增至48</w:t>
      </w:r>
      <w:r>
        <w:rPr>
          <w:rFonts w:ascii="仿宋" w:hAnsi="仿宋" w:eastAsia="仿宋_GB2312" w:cs="仿宋"/>
          <w:iCs/>
          <w:sz w:val="32"/>
          <w:szCs w:val="32"/>
        </w:rPr>
        <w:t>T</w:t>
      </w:r>
      <w:r>
        <w:rPr>
          <w:rFonts w:hint="eastAsia" w:ascii="仿宋" w:hAnsi="仿宋" w:eastAsia="仿宋_GB2312" w:cs="仿宋"/>
          <w:iCs/>
          <w:sz w:val="32"/>
          <w:szCs w:val="32"/>
        </w:rPr>
        <w:t>，IDC连接骨干网带宽增至</w:t>
      </w:r>
      <w:r>
        <w:rPr>
          <w:rFonts w:ascii="仿宋" w:hAnsi="仿宋" w:eastAsia="仿宋_GB2312" w:cs="仿宋"/>
          <w:iCs/>
          <w:sz w:val="32"/>
          <w:szCs w:val="32"/>
        </w:rPr>
        <w:t>35T</w:t>
      </w:r>
      <w:r>
        <w:rPr>
          <w:rFonts w:hint="eastAsia" w:ascii="仿宋" w:hAnsi="仿宋" w:eastAsia="仿宋_GB2312" w:cs="仿宋"/>
          <w:iCs/>
          <w:sz w:val="32"/>
          <w:szCs w:val="32"/>
        </w:rPr>
        <w:t>。电信运营企业的城域网、接入网、LTE网络、DNS域名递归解析系统的IPv6改造完成，L</w:t>
      </w:r>
      <w:r>
        <w:rPr>
          <w:rFonts w:ascii="仿宋" w:hAnsi="仿宋" w:eastAsia="仿宋_GB2312" w:cs="仿宋"/>
          <w:iCs/>
          <w:sz w:val="32"/>
          <w:szCs w:val="32"/>
        </w:rPr>
        <w:t>TE</w:t>
      </w:r>
      <w:r>
        <w:rPr>
          <w:rFonts w:hint="eastAsia" w:ascii="仿宋" w:hAnsi="仿宋" w:eastAsia="仿宋_GB2312" w:cs="仿宋"/>
          <w:iCs/>
          <w:sz w:val="32"/>
          <w:szCs w:val="32"/>
        </w:rPr>
        <w:t>网络中</w:t>
      </w:r>
      <w:r>
        <w:rPr>
          <w:rFonts w:ascii="仿宋" w:hAnsi="仿宋" w:eastAsia="仿宋_GB2312" w:cs="仿宋"/>
          <w:iCs/>
          <w:sz w:val="32"/>
          <w:szCs w:val="32"/>
        </w:rPr>
        <w:t>IPv6</w:t>
      </w:r>
      <w:r>
        <w:rPr>
          <w:rFonts w:hint="eastAsia" w:ascii="仿宋" w:hAnsi="仿宋" w:eastAsia="仿宋_GB2312" w:cs="仿宋"/>
          <w:iCs/>
          <w:sz w:val="32"/>
          <w:szCs w:val="32"/>
        </w:rPr>
        <w:t>流量占比达到10%。全省备案网站、主体分别为9.9</w:t>
      </w:r>
      <w:r>
        <w:rPr>
          <w:rFonts w:hint="eastAsia" w:ascii="仿宋" w:hAnsi="仿宋" w:eastAsia="仿宋_GB2312" w:cs="仿宋"/>
          <w:iCs/>
          <w:sz w:val="32"/>
          <w:szCs w:val="32"/>
          <w:lang w:eastAsia="zh-CN"/>
        </w:rPr>
        <w:t>万个、</w:t>
      </w:r>
      <w:r>
        <w:rPr>
          <w:rFonts w:hint="eastAsia" w:ascii="仿宋" w:hAnsi="仿宋" w:eastAsia="仿宋_GB2312" w:cs="仿宋"/>
          <w:iCs/>
          <w:sz w:val="32"/>
          <w:szCs w:val="32"/>
        </w:rPr>
        <w:t>7.7万个，各占全国2%，本地接入网站1万个。</w:t>
      </w:r>
      <w:r>
        <w:rPr>
          <w:rFonts w:hint="eastAsia" w:ascii="仿宋" w:hAnsi="仿宋" w:eastAsia="仿宋_GB2312" w:cs="仿宋"/>
          <w:b w:val="0"/>
          <w:bCs w:val="0"/>
          <w:iCs/>
          <w:sz w:val="32"/>
          <w:szCs w:val="32"/>
          <w:lang w:eastAsia="zh-CN"/>
        </w:rPr>
        <w:t>算力</w:t>
      </w:r>
      <w:r>
        <w:rPr>
          <w:rFonts w:hint="eastAsia" w:ascii="仿宋" w:hAnsi="仿宋" w:eastAsia="仿宋_GB2312" w:cs="仿宋"/>
          <w:b w:val="0"/>
          <w:bCs w:val="0"/>
          <w:iCs/>
          <w:sz w:val="32"/>
          <w:szCs w:val="32"/>
        </w:rPr>
        <w:t>基础</w:t>
      </w:r>
      <w:r>
        <w:rPr>
          <w:rFonts w:hint="eastAsia" w:ascii="仿宋" w:hAnsi="仿宋" w:eastAsia="仿宋_GB2312" w:cs="仿宋"/>
          <w:b w:val="0"/>
          <w:bCs w:val="0"/>
          <w:iCs/>
          <w:sz w:val="32"/>
          <w:szCs w:val="32"/>
          <w:lang w:eastAsia="zh-CN"/>
        </w:rPr>
        <w:t>方面，</w:t>
      </w:r>
      <w:r>
        <w:rPr>
          <w:rFonts w:hint="eastAsia" w:ascii="仿宋" w:hAnsi="仿宋" w:eastAsia="仿宋_GB2312" w:cs="仿宋"/>
          <w:iCs/>
          <w:sz w:val="32"/>
          <w:szCs w:val="32"/>
        </w:rPr>
        <w:t>截止2020年底在运营数据中心34个，机架规模7.2万架，利用率约30%，其中超大型数据中心2个、大型数据中心5个、中小型数据中心27个。在建的数据中心8个，机架规模3.8万架，其中超大型数据中心2个、大型数据中心2个、中小型数据中心4个。</w:t>
      </w:r>
    </w:p>
    <w:p>
      <w:pPr>
        <w:spacing w:line="360" w:lineRule="auto"/>
        <w:ind w:firstLine="643" w:firstLineChars="200"/>
        <w:rPr>
          <w:rFonts w:ascii="仿宋" w:hAnsi="仿宋" w:eastAsia="仿宋_GB2312" w:cs="仿宋"/>
          <w:iCs/>
          <w:color w:val="FF0000"/>
          <w:sz w:val="32"/>
          <w:szCs w:val="32"/>
        </w:rPr>
      </w:pPr>
      <w:bookmarkStart w:id="22" w:name="_Toc10986"/>
      <w:bookmarkStart w:id="23" w:name="_Toc29433"/>
      <w:r>
        <w:rPr>
          <w:rFonts w:hint="eastAsia" w:ascii="仿宋" w:hAnsi="仿宋" w:eastAsia="仿宋_GB2312" w:cs="仿宋"/>
          <w:b/>
          <w:bCs/>
          <w:sz w:val="32"/>
          <w:szCs w:val="32"/>
        </w:rPr>
        <w:t>3.数字产业</w:t>
      </w:r>
      <w:r>
        <w:rPr>
          <w:rFonts w:hint="eastAsia" w:ascii="仿宋" w:hAnsi="仿宋" w:eastAsia="仿宋_GB2312" w:cs="仿宋"/>
          <w:b/>
          <w:bCs/>
          <w:sz w:val="32"/>
          <w:szCs w:val="32"/>
          <w:lang w:eastAsia="zh-CN"/>
        </w:rPr>
        <w:t>化</w:t>
      </w:r>
      <w:r>
        <w:rPr>
          <w:rFonts w:hint="eastAsia" w:ascii="仿宋" w:hAnsi="仿宋" w:eastAsia="仿宋_GB2312" w:cs="仿宋"/>
          <w:b/>
          <w:bCs/>
          <w:sz w:val="32"/>
          <w:szCs w:val="32"/>
        </w:rPr>
        <w:t>迅猛</w:t>
      </w:r>
      <w:bookmarkEnd w:id="22"/>
      <w:bookmarkEnd w:id="23"/>
      <w:r>
        <w:rPr>
          <w:rFonts w:hint="eastAsia" w:ascii="仿宋" w:hAnsi="仿宋" w:eastAsia="仿宋_GB2312" w:cs="仿宋"/>
          <w:b/>
          <w:bCs/>
          <w:sz w:val="32"/>
          <w:szCs w:val="32"/>
        </w:rPr>
        <w:t>发展</w:t>
      </w:r>
      <w:r>
        <w:rPr>
          <w:rFonts w:hint="eastAsia" w:ascii="仿宋" w:hAnsi="仿宋" w:eastAsia="仿宋_GB2312" w:cs="仿宋"/>
          <w:b/>
          <w:bCs/>
          <w:sz w:val="32"/>
          <w:szCs w:val="32"/>
          <w:lang w:eastAsia="zh-CN"/>
        </w:rPr>
        <w:t>。</w:t>
      </w:r>
      <w:r>
        <w:rPr>
          <w:rFonts w:hint="eastAsia" w:ascii="仿宋" w:hAnsi="仿宋" w:eastAsia="仿宋_GB2312" w:cs="仿宋"/>
          <w:iCs/>
          <w:sz w:val="32"/>
          <w:szCs w:val="32"/>
          <w:highlight w:val="none"/>
        </w:rPr>
        <w:t>基础电信企业积极部署行业5</w:t>
      </w:r>
      <w:r>
        <w:rPr>
          <w:rFonts w:ascii="仿宋" w:hAnsi="仿宋" w:eastAsia="仿宋_GB2312" w:cs="仿宋"/>
          <w:iCs/>
          <w:sz w:val="32"/>
          <w:szCs w:val="32"/>
          <w:highlight w:val="none"/>
        </w:rPr>
        <w:t>G</w:t>
      </w:r>
      <w:r>
        <w:rPr>
          <w:rFonts w:hint="eastAsia" w:ascii="仿宋" w:hAnsi="仿宋" w:eastAsia="仿宋_GB2312" w:cs="仿宋"/>
          <w:iCs/>
          <w:sz w:val="32"/>
          <w:szCs w:val="32"/>
          <w:highlight w:val="none"/>
        </w:rPr>
        <w:t>，</w:t>
      </w:r>
      <w:r>
        <w:rPr>
          <w:rFonts w:hint="eastAsia" w:ascii="仿宋" w:hAnsi="仿宋" w:eastAsia="仿宋_GB2312" w:cs="仿宋"/>
          <w:iCs/>
          <w:sz w:val="32"/>
          <w:szCs w:val="32"/>
          <w:highlight w:val="none"/>
          <w:lang w:eastAsia="zh-CN"/>
        </w:rPr>
        <w:t>推动</w:t>
      </w:r>
      <w:r>
        <w:rPr>
          <w:rFonts w:hint="eastAsia" w:ascii="仿宋" w:hAnsi="仿宋" w:eastAsia="仿宋_GB2312" w:cs="仿宋"/>
          <w:iCs/>
          <w:sz w:val="32"/>
          <w:szCs w:val="32"/>
          <w:highlight w:val="none"/>
        </w:rPr>
        <w:t>形成一批以5G+自动驾驶、5G+视频文创、5G+智能制造等为代表的5G示范应用标杆。</w:t>
      </w:r>
      <w:r>
        <w:rPr>
          <w:rFonts w:hint="eastAsia" w:ascii="仿宋" w:hAnsi="仿宋" w:eastAsia="仿宋_GB2312" w:cs="仿宋"/>
          <w:b w:val="0"/>
          <w:bCs w:val="0"/>
          <w:iCs/>
          <w:sz w:val="32"/>
          <w:szCs w:val="32"/>
          <w:highlight w:val="none"/>
        </w:rPr>
        <w:t>工业互联网发展稳居全国前列</w:t>
      </w:r>
      <w:r>
        <w:rPr>
          <w:rFonts w:hint="eastAsia" w:ascii="仿宋" w:hAnsi="仿宋" w:eastAsia="仿宋_GB2312" w:cs="仿宋"/>
          <w:b w:val="0"/>
          <w:bCs w:val="0"/>
          <w:iCs/>
          <w:sz w:val="32"/>
          <w:szCs w:val="32"/>
          <w:highlight w:val="none"/>
          <w:lang w:eastAsia="zh-CN"/>
        </w:rPr>
        <w:t>，</w:t>
      </w:r>
      <w:r>
        <w:rPr>
          <w:rFonts w:hint="eastAsia" w:ascii="仿宋" w:hAnsi="仿宋" w:eastAsia="仿宋_GB2312" w:cs="仿宋"/>
          <w:iCs/>
          <w:sz w:val="32"/>
          <w:szCs w:val="32"/>
          <w:highlight w:val="none"/>
        </w:rPr>
        <w:t>形成一批以三一集团“根云平台”、中联重科中科云谷为代表的领先工业互联网平台，株洲、醴陵、邵东、浏阳、安化等地优势特色产业集群大力发展行业性工业互联网平台，工业互联网A</w:t>
      </w:r>
      <w:r>
        <w:rPr>
          <w:rFonts w:ascii="仿宋" w:hAnsi="仿宋" w:eastAsia="仿宋_GB2312" w:cs="仿宋"/>
          <w:iCs/>
          <w:sz w:val="32"/>
          <w:szCs w:val="32"/>
          <w:highlight w:val="none"/>
        </w:rPr>
        <w:t>PP</w:t>
      </w:r>
      <w:r>
        <w:rPr>
          <w:rFonts w:hint="eastAsia" w:ascii="仿宋" w:hAnsi="仿宋" w:eastAsia="仿宋_GB2312" w:cs="仿宋"/>
          <w:iCs/>
          <w:sz w:val="32"/>
          <w:szCs w:val="32"/>
          <w:highlight w:val="none"/>
        </w:rPr>
        <w:t>培育成效显著，达180</w:t>
      </w:r>
      <w:r>
        <w:rPr>
          <w:rFonts w:ascii="仿宋" w:hAnsi="仿宋" w:eastAsia="仿宋_GB2312" w:cs="仿宋"/>
          <w:iCs/>
          <w:sz w:val="32"/>
          <w:szCs w:val="32"/>
          <w:highlight w:val="none"/>
        </w:rPr>
        <w:t>00</w:t>
      </w:r>
      <w:r>
        <w:rPr>
          <w:rFonts w:hint="eastAsia" w:ascii="仿宋" w:hAnsi="仿宋" w:eastAsia="仿宋_GB2312" w:cs="仿宋"/>
          <w:iCs/>
          <w:sz w:val="32"/>
          <w:szCs w:val="32"/>
          <w:highlight w:val="none"/>
        </w:rPr>
        <w:t>余个。</w:t>
      </w:r>
    </w:p>
    <w:p>
      <w:pPr>
        <w:spacing w:line="360" w:lineRule="auto"/>
        <w:ind w:firstLine="643" w:firstLineChars="200"/>
        <w:outlineLvl w:val="2"/>
      </w:pPr>
      <w:bookmarkStart w:id="24" w:name="_Toc28683"/>
      <w:bookmarkStart w:id="25" w:name="_Toc2173"/>
      <w:r>
        <w:rPr>
          <w:rFonts w:hint="eastAsia" w:ascii="仿宋" w:hAnsi="仿宋" w:eastAsia="仿宋_GB2312" w:cs="仿宋"/>
          <w:b/>
          <w:bCs/>
          <w:sz w:val="32"/>
          <w:szCs w:val="32"/>
          <w:lang w:val="en-US" w:eastAsia="zh-CN"/>
        </w:rPr>
        <w:t>4</w:t>
      </w:r>
      <w:r>
        <w:rPr>
          <w:rFonts w:hint="eastAsia" w:ascii="仿宋" w:hAnsi="仿宋" w:eastAsia="仿宋_GB2312" w:cs="仿宋"/>
          <w:b/>
          <w:bCs/>
          <w:sz w:val="32"/>
          <w:szCs w:val="32"/>
        </w:rPr>
        <w:t>.服务水平和保障能力稳步提升</w:t>
      </w:r>
      <w:r>
        <w:rPr>
          <w:rFonts w:hint="eastAsia" w:ascii="仿宋" w:hAnsi="仿宋" w:eastAsia="仿宋_GB2312" w:cs="仿宋"/>
          <w:b/>
          <w:bCs/>
          <w:sz w:val="32"/>
          <w:szCs w:val="32"/>
          <w:lang w:eastAsia="zh-CN"/>
        </w:rPr>
        <w:t>。</w:t>
      </w:r>
      <w:r>
        <w:rPr>
          <w:rFonts w:hint="eastAsia" w:ascii="仿宋" w:hAnsi="仿宋" w:eastAsia="仿宋_GB2312" w:cs="仿宋"/>
          <w:b w:val="0"/>
          <w:bCs w:val="0"/>
          <w:sz w:val="32"/>
          <w:szCs w:val="32"/>
          <w:lang w:eastAsia="zh-CN"/>
        </w:rPr>
        <w:t>通信</w:t>
      </w:r>
      <w:r>
        <w:rPr>
          <w:rFonts w:hint="eastAsia" w:ascii="仿宋_GB2312" w:hAnsi="仿宋_GB2312" w:eastAsia="仿宋_GB2312" w:cs="仿宋_GB2312"/>
          <w:b w:val="0"/>
          <w:bCs w:val="0"/>
          <w:sz w:val="32"/>
          <w:szCs w:val="32"/>
        </w:rPr>
        <w:t>服务</w:t>
      </w:r>
      <w:r>
        <w:rPr>
          <w:rFonts w:hint="eastAsia" w:ascii="仿宋_GB2312" w:hAnsi="仿宋_GB2312" w:eastAsia="仿宋_GB2312" w:cs="仿宋_GB2312"/>
          <w:b w:val="0"/>
          <w:bCs w:val="0"/>
          <w:sz w:val="32"/>
          <w:szCs w:val="32"/>
          <w:lang w:eastAsia="zh-CN"/>
        </w:rPr>
        <w:t>方面，</w:t>
      </w:r>
      <w:r>
        <w:rPr>
          <w:rFonts w:hint="eastAsia" w:ascii="仿宋_GB2312" w:hAnsi="仿宋_GB2312" w:eastAsia="仿宋_GB2312" w:cs="仿宋_GB2312"/>
          <w:sz w:val="32"/>
          <w:szCs w:val="32"/>
        </w:rPr>
        <w:t>服务渠道不断完善,服务办理便捷性持续提升，用户申诉问题解决率达8</w:t>
      </w:r>
      <w:r>
        <w:rPr>
          <w:rFonts w:ascii="仿宋_GB2312" w:hAnsi="仿宋_GB2312" w:eastAsia="仿宋_GB2312" w:cs="仿宋_GB2312"/>
          <w:sz w:val="32"/>
          <w:szCs w:val="32"/>
        </w:rPr>
        <w:t>9%</w:t>
      </w:r>
      <w:r>
        <w:rPr>
          <w:rFonts w:hint="eastAsia" w:ascii="仿宋_GB2312" w:hAnsi="楷体" w:eastAsia="仿宋_GB2312" w:cs="Arial"/>
          <w:iCs/>
          <w:sz w:val="32"/>
          <w:szCs w:val="32"/>
        </w:rPr>
        <w:t>。全省用户满意度不断提升，平均得分8</w:t>
      </w:r>
      <w:r>
        <w:rPr>
          <w:rFonts w:ascii="仿宋_GB2312" w:hAnsi="楷体" w:eastAsia="仿宋_GB2312" w:cs="Arial"/>
          <w:iCs/>
          <w:sz w:val="32"/>
          <w:szCs w:val="32"/>
        </w:rPr>
        <w:t>3</w:t>
      </w:r>
      <w:r>
        <w:rPr>
          <w:rFonts w:hint="eastAsia" w:ascii="仿宋_GB2312" w:hAnsi="楷体" w:eastAsia="仿宋_GB2312" w:cs="Arial"/>
          <w:iCs/>
          <w:sz w:val="32"/>
          <w:szCs w:val="32"/>
        </w:rPr>
        <w:t>分。网络提速降费工作不断深入，逐年实施取消手机国内长途费和漫游费、当月流量不清零，手机流量资费比2015年下降95%以上，固定宽带单价大幅下降，网络平均速率提升7倍以上。</w:t>
      </w:r>
      <w:r>
        <w:rPr>
          <w:rFonts w:hint="eastAsia" w:ascii="仿宋" w:hAnsi="仿宋" w:eastAsia="仿宋_GB2312" w:cs="仿宋"/>
          <w:iCs/>
          <w:sz w:val="32"/>
          <w:szCs w:val="32"/>
        </w:rPr>
        <w:t>全面实施</w:t>
      </w:r>
      <w:r>
        <w:rPr>
          <w:rFonts w:hint="eastAsia" w:ascii="仿宋_GB2312" w:hAnsi="仿宋_GB2312" w:eastAsia="仿宋_GB2312" w:cs="仿宋_GB2312"/>
          <w:sz w:val="32"/>
          <w:szCs w:val="32"/>
        </w:rPr>
        <w:t>携号转网服务，</w:t>
      </w:r>
      <w:r>
        <w:rPr>
          <w:rFonts w:hint="eastAsia" w:ascii="仿宋" w:hAnsi="仿宋" w:eastAsia="仿宋_GB2312" w:cs="仿宋"/>
          <w:iCs/>
          <w:sz w:val="32"/>
          <w:szCs w:val="32"/>
        </w:rPr>
        <w:t>携号转网用户超</w:t>
      </w:r>
      <w:r>
        <w:rPr>
          <w:rFonts w:ascii="仿宋" w:hAnsi="仿宋" w:eastAsia="仿宋_GB2312" w:cs="仿宋"/>
          <w:iCs/>
          <w:sz w:val="32"/>
          <w:szCs w:val="32"/>
        </w:rPr>
        <w:t>7</w:t>
      </w:r>
      <w:r>
        <w:rPr>
          <w:rFonts w:hint="eastAsia" w:ascii="仿宋" w:hAnsi="仿宋" w:eastAsia="仿宋_GB2312" w:cs="仿宋"/>
          <w:iCs/>
          <w:sz w:val="32"/>
          <w:szCs w:val="32"/>
        </w:rPr>
        <w:t>0万，保障电信用户的自由选择权。</w:t>
      </w:r>
      <w:r>
        <w:rPr>
          <w:rFonts w:hint="eastAsia" w:ascii="仿宋_GB2312" w:hAnsi="仿宋_GB2312" w:eastAsia="仿宋_GB2312" w:cs="仿宋_GB2312"/>
          <w:b w:val="0"/>
          <w:bCs w:val="0"/>
          <w:sz w:val="32"/>
          <w:szCs w:val="32"/>
        </w:rPr>
        <w:t>网络保障</w:t>
      </w:r>
      <w:r>
        <w:rPr>
          <w:rFonts w:hint="eastAsia" w:ascii="仿宋_GB2312" w:hAnsi="仿宋_GB2312" w:eastAsia="仿宋_GB2312" w:cs="仿宋_GB2312"/>
          <w:b w:val="0"/>
          <w:bCs w:val="0"/>
          <w:sz w:val="32"/>
          <w:szCs w:val="32"/>
          <w:lang w:eastAsia="zh-CN"/>
        </w:rPr>
        <w:t>方面，</w:t>
      </w:r>
      <w:r>
        <w:rPr>
          <w:rFonts w:hint="eastAsia" w:ascii="仿宋_GB2312" w:hAnsi="仿宋_GB2312" w:eastAsia="仿宋_GB2312" w:cs="仿宋_GB2312"/>
          <w:sz w:val="32"/>
          <w:szCs w:val="32"/>
        </w:rPr>
        <w:t>完善重要通信网络“双路由、双节点”、核心机楼“双市电”保护措施，提高安全防范能力，消除各类隐患，确保网络运行安全。搭建应急保障指挥体系，明确指挥调度流程，加强应急通信保障能力建设，完善应急通信保障联动机制建设，磨炼应急通信保障队伍，强化日常演练。出色完成自然灾害、突发事件应急处置和中非博览会、建国70周年等重大活动的网络安全与通信保障任务。</w:t>
      </w:r>
    </w:p>
    <w:p>
      <w:pPr>
        <w:spacing w:line="360" w:lineRule="auto"/>
        <w:ind w:firstLine="643" w:firstLineChars="200"/>
        <w:outlineLvl w:val="2"/>
        <w:rPr>
          <w:rFonts w:ascii="仿宋" w:hAnsi="仿宋" w:eastAsia="仿宋_GB2312" w:cs="仿宋"/>
          <w:iCs/>
          <w:sz w:val="32"/>
          <w:szCs w:val="32"/>
        </w:rPr>
      </w:pPr>
      <w:r>
        <w:rPr>
          <w:rFonts w:hint="eastAsia" w:ascii="仿宋_GB2312" w:hAnsi="仿宋_GB2312" w:eastAsia="仿宋_GB2312" w:cs="仿宋_GB2312"/>
          <w:b/>
          <w:bCs/>
          <w:sz w:val="32"/>
          <w:szCs w:val="32"/>
        </w:rPr>
        <w:t>5.信息通信监管更加有效</w:t>
      </w:r>
      <w:bookmarkEnd w:id="24"/>
      <w:bookmarkEnd w:id="25"/>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iCs/>
          <w:sz w:val="32"/>
          <w:szCs w:val="32"/>
        </w:rPr>
        <w:t>贯彻落实《湖南省通信条例》等法规,为全省信息通信发展提供法制保障。出台《湖南省建筑物移动通信基础设施建设标准》等标准，规范用地红线内移动通信基础设施建设。成立各</w:t>
      </w:r>
      <w:r>
        <w:rPr>
          <w:rFonts w:hint="eastAsia" w:ascii="仿宋_GB2312" w:hAnsi="仿宋_GB2312" w:eastAsia="仿宋_GB2312" w:cs="仿宋_GB2312"/>
          <w:iCs/>
          <w:sz w:val="32"/>
          <w:szCs w:val="32"/>
          <w:lang w:eastAsia="zh-CN"/>
        </w:rPr>
        <w:t>市州</w:t>
      </w:r>
      <w:r>
        <w:rPr>
          <w:rFonts w:hint="eastAsia" w:ascii="仿宋_GB2312" w:hAnsi="仿宋_GB2312" w:eastAsia="仿宋_GB2312" w:cs="仿宋_GB2312"/>
          <w:iCs/>
          <w:sz w:val="32"/>
          <w:szCs w:val="32"/>
        </w:rPr>
        <w:t>通信发展管理办公室，有效推动光纤到户标准、5G移动通信产业发展政策落实。进一步深化“放管服”改革，简化审批程序，平均审批时限比法定60日缩短80%，全面实施“双随机、一公开”监管，加强证后监督。联合整治网络市场乱象，优化省内重点企业涉网舆论环境，打造诚信网络环境。批准5家民营企业开展宽带接入网业务试点，移动通信转售业务正式商用，移动通信转售</w:t>
      </w:r>
      <w:r>
        <w:rPr>
          <w:rFonts w:hint="eastAsia" w:ascii="仿宋_GB2312" w:hAnsi="仿宋_GB2312" w:eastAsia="仿宋_GB2312" w:cs="仿宋_GB2312"/>
          <w:iCs/>
          <w:sz w:val="32"/>
          <w:szCs w:val="32"/>
          <w:lang w:eastAsia="zh-CN"/>
        </w:rPr>
        <w:t>企业</w:t>
      </w:r>
      <w:r>
        <w:rPr>
          <w:rFonts w:hint="eastAsia" w:ascii="仿宋_GB2312" w:hAnsi="仿宋_GB2312" w:eastAsia="仿宋_GB2312" w:cs="仿宋_GB2312"/>
          <w:iCs/>
          <w:sz w:val="32"/>
          <w:szCs w:val="32"/>
        </w:rPr>
        <w:t>电话用户170多万。全面落实安全生产工作部署，建立健全企业安全生产“黑名单”和第一责任人制度体系，强化事故源头管控，整治各类安全隐患7000余项，坚持开展巡查督查，进一步夯实安全生产基层基础，培训考核安全生产管理人员5000余人次。</w:t>
      </w:r>
    </w:p>
    <w:p>
      <w:pPr>
        <w:spacing w:line="360" w:lineRule="auto"/>
        <w:ind w:firstLine="643" w:firstLineChars="200"/>
        <w:outlineLvl w:val="2"/>
        <w:rPr>
          <w:rFonts w:ascii="仿宋" w:hAnsi="仿宋" w:eastAsia="仿宋_GB2312" w:cs="仿宋"/>
          <w:iCs/>
          <w:color w:val="FF0000"/>
          <w:sz w:val="32"/>
          <w:szCs w:val="32"/>
        </w:rPr>
      </w:pPr>
      <w:bookmarkStart w:id="26" w:name="_Toc31029"/>
      <w:bookmarkStart w:id="27" w:name="_Toc1211"/>
      <w:r>
        <w:rPr>
          <w:rFonts w:hint="eastAsia" w:ascii="仿宋" w:hAnsi="仿宋" w:eastAsia="仿宋_GB2312" w:cs="仿宋"/>
          <w:b/>
          <w:bCs/>
          <w:sz w:val="32"/>
          <w:szCs w:val="32"/>
        </w:rPr>
        <w:t>6.网络安全体系</w:t>
      </w:r>
      <w:bookmarkEnd w:id="26"/>
      <w:r>
        <w:rPr>
          <w:rFonts w:hint="eastAsia" w:ascii="仿宋" w:hAnsi="仿宋" w:eastAsia="仿宋_GB2312" w:cs="仿宋"/>
          <w:b/>
          <w:bCs/>
          <w:sz w:val="32"/>
          <w:szCs w:val="32"/>
        </w:rPr>
        <w:t>持续构建</w:t>
      </w:r>
      <w:bookmarkEnd w:id="27"/>
      <w:r>
        <w:rPr>
          <w:rFonts w:hint="eastAsia" w:ascii="仿宋" w:hAnsi="仿宋" w:eastAsia="仿宋_GB2312" w:cs="仿宋"/>
          <w:b/>
          <w:bCs/>
          <w:sz w:val="32"/>
          <w:szCs w:val="32"/>
          <w:lang w:eastAsia="zh-CN"/>
        </w:rPr>
        <w:t>。</w:t>
      </w:r>
      <w:r>
        <w:rPr>
          <w:rFonts w:hint="eastAsia" w:ascii="仿宋" w:hAnsi="仿宋" w:eastAsia="仿宋_GB2312" w:cs="仿宋"/>
          <w:sz w:val="32"/>
          <w:szCs w:val="32"/>
        </w:rPr>
        <w:t>第二个国家网络安全产业园区落户长沙，形成明显产业特色优势和创新优势，产业规模突破100亿元。基于“一中心多平台”设计理念，建成湖南通信大数据管理平台，以数据治理中台为技术底座，在相关应用中取得显著成效。贯彻落实工业和信息化部《公共互联网网络安全威胁监测与处置办法》，及时处置网络安全等事件。深入推进实名制,严格落实电话用户入网实名登记，依法加大对违规销售电话卡的监测和处置力度，从源头上加强管控。采用技术手段有效治理电信网络诈骗，切实维护人民群众利益。</w:t>
      </w:r>
    </w:p>
    <w:p>
      <w:pPr>
        <w:widowControl/>
        <w:spacing w:line="360" w:lineRule="auto"/>
        <w:ind w:firstLine="640" w:firstLineChars="200"/>
        <w:rPr>
          <w:rFonts w:ascii="仿宋" w:hAnsi="仿宋" w:eastAsia="仿宋_GB2312" w:cs="仿宋"/>
          <w:b/>
          <w:sz w:val="32"/>
          <w:szCs w:val="32"/>
        </w:rPr>
      </w:pPr>
      <w:r>
        <w:rPr>
          <w:rFonts w:hint="eastAsia" w:ascii="仿宋" w:hAnsi="仿宋" w:eastAsia="仿宋_GB2312" w:cs="仿宋"/>
          <w:iCs/>
          <w:sz w:val="32"/>
          <w:szCs w:val="32"/>
          <w:lang w:eastAsia="zh-CN"/>
        </w:rPr>
        <w:t>“十三五”期间，</w:t>
      </w:r>
      <w:r>
        <w:rPr>
          <w:rFonts w:hint="eastAsia" w:ascii="仿宋" w:hAnsi="仿宋" w:eastAsia="仿宋_GB2312" w:cs="仿宋"/>
          <w:iCs/>
          <w:sz w:val="32"/>
          <w:szCs w:val="32"/>
        </w:rPr>
        <w:t>我省信息通信发展取得显著</w:t>
      </w:r>
      <w:r>
        <w:rPr>
          <w:rFonts w:hint="eastAsia" w:ascii="仿宋" w:hAnsi="仿宋" w:eastAsia="仿宋_GB2312" w:cs="仿宋"/>
          <w:iCs/>
          <w:sz w:val="32"/>
          <w:szCs w:val="32"/>
          <w:lang w:eastAsia="zh-CN"/>
        </w:rPr>
        <w:t>成效</w:t>
      </w:r>
      <w:r>
        <w:rPr>
          <w:rFonts w:hint="eastAsia" w:ascii="仿宋" w:hAnsi="仿宋" w:eastAsia="仿宋_GB2312" w:cs="仿宋"/>
          <w:iCs/>
          <w:sz w:val="32"/>
          <w:szCs w:val="32"/>
        </w:rPr>
        <w:t>，但还存在一些短板和弱项。</w:t>
      </w:r>
      <w:r>
        <w:rPr>
          <w:rFonts w:hint="eastAsia" w:ascii="仿宋" w:hAnsi="仿宋" w:eastAsia="仿宋" w:cs="仿宋"/>
          <w:kern w:val="0"/>
          <w:sz w:val="31"/>
          <w:szCs w:val="31"/>
          <w:lang w:bidi="ar"/>
        </w:rPr>
        <w:t>一是</w:t>
      </w:r>
      <w:r>
        <w:rPr>
          <w:rFonts w:hint="eastAsia" w:ascii="仿宋" w:hAnsi="仿宋" w:eastAsia="仿宋_GB2312" w:cs="仿宋"/>
          <w:iCs/>
          <w:sz w:val="32"/>
          <w:szCs w:val="32"/>
        </w:rPr>
        <w:t>城乡信息通信基础设施水平和服务能力不均衡，网络服务盲点依然存在，部分区域网络普</w:t>
      </w:r>
      <w:r>
        <w:rPr>
          <w:rFonts w:hint="eastAsia" w:ascii="仿宋" w:hAnsi="仿宋" w:eastAsia="仿宋_GB2312" w:cs="仿宋"/>
          <w:sz w:val="32"/>
          <w:szCs w:val="32"/>
        </w:rPr>
        <w:t>及率偏低。二是信息通信技术与传统行业的数字化转型融合深度、应用切入不够，融合方式和降本增效亟待加强。三是全方位、多层次、立体化的监管体系</w:t>
      </w:r>
      <w:r>
        <w:rPr>
          <w:rFonts w:hint="eastAsia" w:ascii="仿宋" w:hAnsi="仿宋" w:eastAsia="仿宋_GB2312" w:cs="仿宋"/>
          <w:sz w:val="32"/>
          <w:szCs w:val="32"/>
          <w:lang w:eastAsia="zh-CN"/>
        </w:rPr>
        <w:t>尚</w:t>
      </w:r>
      <w:r>
        <w:rPr>
          <w:rFonts w:hint="eastAsia" w:ascii="仿宋" w:hAnsi="仿宋" w:eastAsia="仿宋_GB2312" w:cs="仿宋"/>
          <w:sz w:val="32"/>
          <w:szCs w:val="32"/>
        </w:rPr>
        <w:t>未形成，不能有效支撑数字化发展</w:t>
      </w:r>
      <w:r>
        <w:rPr>
          <w:rFonts w:hint="eastAsia" w:ascii="仿宋" w:hAnsi="仿宋" w:eastAsia="仿宋_GB2312" w:cs="仿宋"/>
          <w:sz w:val="32"/>
          <w:szCs w:val="32"/>
          <w:lang w:eastAsia="zh-CN"/>
        </w:rPr>
        <w:t>。</w:t>
      </w:r>
      <w:r>
        <w:rPr>
          <w:rFonts w:hint="eastAsia" w:ascii="仿宋" w:hAnsi="仿宋" w:eastAsia="仿宋_GB2312" w:cs="仿宋"/>
          <w:sz w:val="32"/>
          <w:szCs w:val="32"/>
        </w:rPr>
        <w:t>四是网络安全保障体系发展滞后，网络综合治理能力不足</w:t>
      </w:r>
      <w:r>
        <w:rPr>
          <w:rFonts w:hint="eastAsia" w:ascii="仿宋" w:hAnsi="仿宋" w:eastAsia="仿宋_GB2312" w:cs="仿宋"/>
          <w:iCs/>
          <w:sz w:val="32"/>
          <w:szCs w:val="32"/>
        </w:rPr>
        <w:t>。</w:t>
      </w:r>
    </w:p>
    <w:p>
      <w:pPr>
        <w:spacing w:line="360" w:lineRule="auto"/>
        <w:ind w:firstLine="643" w:firstLineChars="200"/>
        <w:outlineLvl w:val="1"/>
        <w:rPr>
          <w:rFonts w:ascii="楷体" w:hAnsi="楷体" w:eastAsia="楷体" w:cs="楷体"/>
          <w:b/>
          <w:bCs/>
          <w:sz w:val="32"/>
          <w:szCs w:val="32"/>
        </w:rPr>
      </w:pPr>
      <w:bookmarkStart w:id="28" w:name="_Toc29956"/>
      <w:bookmarkStart w:id="29" w:name="_Toc20878"/>
      <w:bookmarkStart w:id="30" w:name="_Toc11657"/>
      <w:bookmarkStart w:id="31" w:name="_Toc27744"/>
      <w:bookmarkStart w:id="32" w:name="_Toc30244"/>
      <w:bookmarkStart w:id="33" w:name="_Toc27375"/>
      <w:bookmarkStart w:id="34" w:name="_Toc21118"/>
      <w:r>
        <w:rPr>
          <w:rFonts w:hint="eastAsia" w:ascii="楷体" w:hAnsi="楷体" w:eastAsia="楷体" w:cs="楷体"/>
          <w:b/>
          <w:bCs/>
          <w:sz w:val="32"/>
          <w:szCs w:val="32"/>
        </w:rPr>
        <w:t>（二）“十四五”形势</w:t>
      </w:r>
      <w:bookmarkEnd w:id="28"/>
      <w:bookmarkEnd w:id="29"/>
      <w:bookmarkEnd w:id="30"/>
      <w:bookmarkEnd w:id="31"/>
      <w:bookmarkEnd w:id="32"/>
    </w:p>
    <w:p>
      <w:pPr>
        <w:spacing w:line="360" w:lineRule="auto"/>
        <w:ind w:firstLine="640" w:firstLineChars="200"/>
        <w:rPr>
          <w:rFonts w:ascii="仿宋" w:hAnsi="仿宋" w:eastAsia="仿宋_GB2312" w:cs="仿宋"/>
          <w:b/>
          <w:bCs/>
          <w:sz w:val="32"/>
          <w:szCs w:val="32"/>
        </w:rPr>
      </w:pPr>
      <w:r>
        <w:rPr>
          <w:rFonts w:hint="eastAsia" w:ascii="仿宋" w:hAnsi="仿宋" w:eastAsia="仿宋_GB2312" w:cs="仿宋"/>
          <w:sz w:val="32"/>
          <w:szCs w:val="32"/>
        </w:rPr>
        <w:t>“十四五”时期，我国经济社会发展仍然处于重要战略机遇期，但也面临一些新风险和挑战。</w:t>
      </w:r>
    </w:p>
    <w:p>
      <w:pPr>
        <w:spacing w:line="360" w:lineRule="auto"/>
        <w:ind w:firstLine="640" w:firstLineChars="200"/>
        <w:rPr>
          <w:rFonts w:ascii="仿宋" w:hAnsi="仿宋" w:eastAsia="仿宋_GB2312" w:cs="仿宋"/>
          <w:sz w:val="32"/>
          <w:szCs w:val="32"/>
        </w:rPr>
      </w:pPr>
      <w:r>
        <w:rPr>
          <w:rFonts w:hint="eastAsia" w:ascii="仿宋" w:hAnsi="仿宋" w:eastAsia="仿宋_GB2312" w:cs="仿宋"/>
          <w:sz w:val="32"/>
          <w:szCs w:val="32"/>
        </w:rPr>
        <w:t>从国际形势看，当今世界正在经历一场更大范围、更深层次的科技革命和产业变革，以争夺科技主导权为核心的国际经贸摩擦加剧，逆全球化浪潮愈演愈烈，特别是新冠肺炎疫情扩散蔓延对经济活动造成巨大冲击，不稳定性、不确定性明显增加。以互联网、大数据、云计算、人工智能、区块链等新一代信息技术加速创新，日益融入经济社会发展各领域全过程，数字经济发展速度之快、辐射范围之广、影响程度之深前所未有，正在成为重组全球要素资源、重塑全球经济结构、改变全球竞争格局的关键力量。</w:t>
      </w:r>
    </w:p>
    <w:p>
      <w:pPr>
        <w:spacing w:line="360" w:lineRule="auto"/>
        <w:ind w:firstLine="640" w:firstLineChars="200"/>
        <w:rPr>
          <w:rFonts w:ascii="仿宋" w:hAnsi="仿宋" w:eastAsia="仿宋_GB2312" w:cs="仿宋"/>
          <w:sz w:val="32"/>
          <w:szCs w:val="32"/>
        </w:rPr>
      </w:pPr>
      <w:r>
        <w:rPr>
          <w:rFonts w:hint="eastAsia" w:ascii="仿宋" w:hAnsi="仿宋" w:eastAsia="仿宋_GB2312" w:cs="仿宋"/>
          <w:sz w:val="32"/>
          <w:szCs w:val="32"/>
        </w:rPr>
        <w:t>从国内趋势看，我国正处于统筹中华民族伟大复兴战略全局和世界百年未有之大变局</w:t>
      </w:r>
      <w:r>
        <w:rPr>
          <w:rFonts w:hint="eastAsia" w:ascii="仿宋" w:hAnsi="仿宋" w:eastAsia="仿宋_GB2312" w:cs="仿宋"/>
          <w:sz w:val="32"/>
          <w:szCs w:val="32"/>
          <w:lang w:eastAsia="zh-CN"/>
        </w:rPr>
        <w:t>的</w:t>
      </w:r>
      <w:r>
        <w:rPr>
          <w:rFonts w:hint="eastAsia" w:ascii="仿宋" w:hAnsi="仿宋" w:eastAsia="仿宋_GB2312" w:cs="仿宋"/>
          <w:sz w:val="32"/>
          <w:szCs w:val="32"/>
        </w:rPr>
        <w:t>关键阶段，以习近平同志为核心的党中央，对建设制造强国、网络强国、数字中国作出一系列重大战略部署，强调统筹国内国际两个大局、发展安全两件大事，充分发挥海量数据和丰富应用场景优势，促进数字技术与实体经济深度融合，赋能传统产业转型升级，催生新产业新业态新模式，不断做强做优做大我国数字经济。</w:t>
      </w:r>
    </w:p>
    <w:p>
      <w:pPr>
        <w:spacing w:line="360" w:lineRule="auto"/>
        <w:ind w:firstLine="640" w:firstLineChars="200"/>
        <w:jc w:val="left"/>
      </w:pPr>
      <w:r>
        <w:rPr>
          <w:rFonts w:hint="eastAsia" w:ascii="仿宋" w:hAnsi="仿宋" w:eastAsia="仿宋_GB2312" w:cs="仿宋"/>
          <w:sz w:val="32"/>
          <w:szCs w:val="32"/>
        </w:rPr>
        <w:t>习近平总书记到湖南考察</w:t>
      </w:r>
      <w:r>
        <w:rPr>
          <w:rFonts w:hint="eastAsia" w:ascii="仿宋" w:hAnsi="仿宋" w:eastAsia="仿宋_GB2312" w:cs="仿宋"/>
          <w:sz w:val="32"/>
          <w:szCs w:val="32"/>
          <w:lang w:eastAsia="zh-CN"/>
        </w:rPr>
        <w:t>，赋予</w:t>
      </w:r>
      <w:r>
        <w:rPr>
          <w:rFonts w:hint="eastAsia" w:ascii="仿宋" w:hAnsi="仿宋" w:eastAsia="仿宋_GB2312" w:cs="仿宋"/>
          <w:sz w:val="32"/>
          <w:szCs w:val="32"/>
        </w:rPr>
        <w:t>湖南“三个高地”</w:t>
      </w:r>
      <w:r>
        <w:rPr>
          <w:rFonts w:hint="eastAsia" w:ascii="仿宋" w:hAnsi="仿宋" w:eastAsia="仿宋_GB2312" w:cs="仿宋"/>
          <w:sz w:val="32"/>
          <w:szCs w:val="32"/>
          <w:lang w:eastAsia="zh-CN"/>
        </w:rPr>
        <w:t>战略定位和</w:t>
      </w:r>
      <w:r>
        <w:rPr>
          <w:rFonts w:hint="eastAsia" w:ascii="仿宋" w:hAnsi="仿宋" w:eastAsia="仿宋_GB2312" w:cs="仿宋"/>
          <w:sz w:val="32"/>
          <w:szCs w:val="32"/>
        </w:rPr>
        <w:t>“四新”使命</w:t>
      </w:r>
      <w:r>
        <w:rPr>
          <w:rFonts w:hint="eastAsia" w:ascii="仿宋" w:hAnsi="仿宋" w:eastAsia="仿宋_GB2312" w:cs="仿宋"/>
          <w:sz w:val="32"/>
          <w:szCs w:val="32"/>
          <w:lang w:eastAsia="zh-CN"/>
        </w:rPr>
        <w:t>任务</w:t>
      </w:r>
      <w:r>
        <w:rPr>
          <w:rFonts w:hint="eastAsia" w:ascii="仿宋" w:hAnsi="仿宋" w:eastAsia="仿宋_GB2312" w:cs="仿宋"/>
          <w:sz w:val="32"/>
          <w:szCs w:val="32"/>
        </w:rPr>
        <w:t>，为</w:t>
      </w:r>
      <w:r>
        <w:rPr>
          <w:rFonts w:hint="eastAsia" w:ascii="仿宋" w:hAnsi="仿宋" w:eastAsia="仿宋_GB2312" w:cs="仿宋"/>
          <w:sz w:val="32"/>
          <w:szCs w:val="32"/>
          <w:lang w:eastAsia="zh-CN"/>
        </w:rPr>
        <w:t>湖南</w:t>
      </w:r>
      <w:r>
        <w:rPr>
          <w:rFonts w:hint="eastAsia" w:ascii="仿宋" w:hAnsi="仿宋" w:eastAsia="仿宋_GB2312" w:cs="仿宋"/>
          <w:sz w:val="32"/>
          <w:szCs w:val="32"/>
        </w:rPr>
        <w:t>发展指明了前进方向、注入了强大动力。湖南区位优势明显、产业基础坚实、人力资源丰厚，为</w:t>
      </w:r>
      <w:r>
        <w:rPr>
          <w:rFonts w:hint="eastAsia" w:ascii="仿宋" w:hAnsi="仿宋" w:eastAsia="仿宋_GB2312" w:cs="仿宋"/>
          <w:sz w:val="32"/>
          <w:szCs w:val="32"/>
          <w:lang w:eastAsia="zh-CN"/>
        </w:rPr>
        <w:t>信息通信发展</w:t>
      </w:r>
      <w:r>
        <w:rPr>
          <w:rFonts w:hint="eastAsia" w:ascii="仿宋" w:hAnsi="仿宋" w:eastAsia="仿宋_GB2312" w:cs="仿宋"/>
          <w:sz w:val="32"/>
          <w:szCs w:val="32"/>
        </w:rPr>
        <w:t>创造了基础条件。为抢抓发展机遇，加快完善</w:t>
      </w:r>
      <w:r>
        <w:rPr>
          <w:rFonts w:hint="eastAsia" w:ascii="仿宋" w:hAnsi="仿宋" w:eastAsia="仿宋_GB2312" w:cs="仿宋"/>
          <w:sz w:val="32"/>
          <w:szCs w:val="32"/>
          <w:lang w:eastAsia="zh-CN"/>
        </w:rPr>
        <w:t>信息通信</w:t>
      </w:r>
      <w:r>
        <w:rPr>
          <w:rFonts w:hint="eastAsia" w:ascii="仿宋" w:hAnsi="仿宋" w:eastAsia="仿宋_GB2312" w:cs="仿宋"/>
          <w:sz w:val="32"/>
          <w:szCs w:val="32"/>
        </w:rPr>
        <w:t>基础设施体系，推动经济社会各领域数字化转型，培育壮大高质量发展新动能，“十四五”时期，我省将着力打造高速泛在、云网融合、智能敏捷、绿色低碳、安全可控的智能化综合性</w:t>
      </w:r>
      <w:r>
        <w:rPr>
          <w:rFonts w:hint="eastAsia" w:ascii="仿宋" w:hAnsi="仿宋" w:eastAsia="仿宋_GB2312" w:cs="仿宋"/>
          <w:sz w:val="32"/>
          <w:szCs w:val="32"/>
          <w:lang w:eastAsia="zh-CN"/>
        </w:rPr>
        <w:t>信息通信</w:t>
      </w:r>
      <w:r>
        <w:rPr>
          <w:rFonts w:hint="eastAsia" w:ascii="仿宋" w:hAnsi="仿宋" w:eastAsia="仿宋_GB2312" w:cs="仿宋"/>
          <w:sz w:val="32"/>
          <w:szCs w:val="32"/>
        </w:rPr>
        <w:t>基础设施</w:t>
      </w:r>
      <w:r>
        <w:rPr>
          <w:rFonts w:hint="eastAsia" w:ascii="仿宋" w:hAnsi="仿宋" w:eastAsia="仿宋_GB2312" w:cs="仿宋"/>
          <w:sz w:val="32"/>
          <w:szCs w:val="32"/>
          <w:lang w:eastAsia="zh-CN"/>
        </w:rPr>
        <w:t>体系</w:t>
      </w:r>
      <w:r>
        <w:rPr>
          <w:rFonts w:hint="eastAsia" w:ascii="仿宋" w:hAnsi="仿宋" w:eastAsia="仿宋_GB2312" w:cs="仿宋"/>
          <w:sz w:val="32"/>
          <w:szCs w:val="32"/>
        </w:rPr>
        <w:t>，打通经济社会发展的信息“大动脉”</w:t>
      </w:r>
      <w:r>
        <w:rPr>
          <w:rFonts w:hint="eastAsia" w:ascii="仿宋" w:hAnsi="仿宋" w:eastAsia="仿宋_GB2312" w:cs="仿宋"/>
          <w:color w:val="auto"/>
          <w:sz w:val="32"/>
          <w:szCs w:val="32"/>
          <w:lang w:eastAsia="zh-CN"/>
        </w:rPr>
        <w:t>；</w:t>
      </w:r>
      <w:r>
        <w:rPr>
          <w:rFonts w:hint="eastAsia" w:ascii="仿宋" w:hAnsi="仿宋" w:eastAsia="仿宋_GB2312" w:cs="仿宋"/>
          <w:sz w:val="32"/>
          <w:szCs w:val="32"/>
        </w:rPr>
        <w:t>着力推进互联网、大数据、人工智能等数字技术同传统产业深度融合，</w:t>
      </w:r>
      <w:r>
        <w:rPr>
          <w:rFonts w:hint="eastAsia" w:ascii="仿宋" w:hAnsi="仿宋" w:eastAsia="仿宋_GB2312" w:cs="仿宋"/>
          <w:sz w:val="32"/>
          <w:szCs w:val="32"/>
          <w:lang w:eastAsia="zh-CN"/>
        </w:rPr>
        <w:t>积极参与</w:t>
      </w:r>
      <w:r>
        <w:rPr>
          <w:rFonts w:hint="eastAsia" w:ascii="仿宋" w:hAnsi="仿宋" w:eastAsia="仿宋_GB2312" w:cs="仿宋"/>
          <w:sz w:val="32"/>
          <w:szCs w:val="32"/>
        </w:rPr>
        <w:t>制造业、服务业、农业的数字化改造，建设数字中国、智慧社会，推进数字产业化和产业数字化，打造具有竞争力的数字产业集群</w:t>
      </w:r>
      <w:r>
        <w:rPr>
          <w:rFonts w:hint="eastAsia" w:ascii="仿宋" w:hAnsi="仿宋" w:eastAsia="仿宋_GB2312" w:cs="仿宋"/>
          <w:color w:val="auto"/>
          <w:sz w:val="32"/>
          <w:szCs w:val="32"/>
          <w:lang w:eastAsia="zh-CN"/>
        </w:rPr>
        <w:t>；</w:t>
      </w:r>
      <w:r>
        <w:rPr>
          <w:rFonts w:hint="eastAsia" w:ascii="仿宋" w:hAnsi="仿宋" w:eastAsia="仿宋_GB2312" w:cs="仿宋"/>
          <w:sz w:val="32"/>
          <w:szCs w:val="32"/>
        </w:rPr>
        <w:t>着力构建全方位、多层次、立体化的新型</w:t>
      </w:r>
      <w:r>
        <w:rPr>
          <w:rFonts w:hint="eastAsia" w:ascii="仿宋" w:hAnsi="仿宋" w:eastAsia="仿宋_GB2312" w:cs="仿宋"/>
          <w:sz w:val="32"/>
          <w:szCs w:val="32"/>
          <w:lang w:eastAsia="zh-CN"/>
        </w:rPr>
        <w:t>通信</w:t>
      </w:r>
      <w:r>
        <w:rPr>
          <w:rFonts w:hint="eastAsia" w:ascii="仿宋" w:hAnsi="仿宋" w:eastAsia="仿宋_GB2312" w:cs="仿宋"/>
          <w:sz w:val="32"/>
          <w:szCs w:val="32"/>
        </w:rPr>
        <w:t>监管体系，保障网络信息安全，</w:t>
      </w:r>
      <w:r>
        <w:rPr>
          <w:rFonts w:hint="eastAsia" w:ascii="仿宋" w:hAnsi="仿宋" w:eastAsia="仿宋_GB2312" w:cs="仿宋"/>
          <w:sz w:val="32"/>
          <w:szCs w:val="32"/>
          <w:lang w:eastAsia="zh-CN"/>
        </w:rPr>
        <w:t>全面提升人民群众的安全感和幸福感；</w:t>
      </w:r>
      <w:r>
        <w:rPr>
          <w:rFonts w:hint="eastAsia" w:ascii="仿宋" w:hAnsi="仿宋" w:eastAsia="仿宋_GB2312" w:cs="仿宋"/>
          <w:sz w:val="32"/>
          <w:szCs w:val="32"/>
        </w:rPr>
        <w:t>奋力谱写新时代坚持和发展中国特色社会主义的湖南新篇章。</w:t>
      </w:r>
      <w:bookmarkEnd w:id="5"/>
      <w:bookmarkEnd w:id="33"/>
      <w:bookmarkEnd w:id="34"/>
      <w:bookmarkStart w:id="35" w:name="_Toc24068"/>
      <w:bookmarkStart w:id="36" w:name="_Toc20639"/>
    </w:p>
    <w:p>
      <w:pPr>
        <w:tabs>
          <w:tab w:val="left" w:pos="720"/>
        </w:tabs>
        <w:spacing w:before="200" w:after="300" w:line="360" w:lineRule="auto"/>
        <w:ind w:firstLine="643" w:firstLineChars="200"/>
        <w:jc w:val="left"/>
        <w:outlineLvl w:val="0"/>
        <w:rPr>
          <w:rFonts w:ascii="黑体" w:hAnsi="黑体" w:eastAsia="黑体" w:cs="仿宋"/>
          <w:b/>
          <w:sz w:val="32"/>
          <w:szCs w:val="32"/>
        </w:rPr>
      </w:pPr>
      <w:bookmarkStart w:id="37" w:name="_Toc30566"/>
      <w:bookmarkStart w:id="38" w:name="_Toc17669"/>
      <w:bookmarkStart w:id="39" w:name="_Toc13245"/>
      <w:bookmarkStart w:id="40" w:name="_Toc17463"/>
      <w:bookmarkStart w:id="41" w:name="_Toc25787"/>
      <w:bookmarkStart w:id="42" w:name="_Toc10404"/>
      <w:r>
        <w:rPr>
          <w:rFonts w:hint="eastAsia" w:ascii="黑体" w:hAnsi="黑体" w:eastAsia="黑体" w:cs="仿宋"/>
          <w:b/>
          <w:sz w:val="32"/>
          <w:szCs w:val="32"/>
        </w:rPr>
        <w:t>二、</w:t>
      </w:r>
      <w:bookmarkEnd w:id="35"/>
      <w:bookmarkEnd w:id="37"/>
      <w:r>
        <w:rPr>
          <w:rFonts w:hint="eastAsia" w:ascii="黑体" w:hAnsi="黑体" w:eastAsia="黑体" w:cs="仿宋"/>
          <w:b/>
          <w:sz w:val="32"/>
          <w:szCs w:val="32"/>
        </w:rPr>
        <w:t>总体要求</w:t>
      </w:r>
      <w:bookmarkEnd w:id="38"/>
      <w:bookmarkEnd w:id="39"/>
      <w:bookmarkEnd w:id="40"/>
      <w:bookmarkEnd w:id="41"/>
      <w:bookmarkEnd w:id="42"/>
    </w:p>
    <w:p>
      <w:pPr>
        <w:spacing w:line="360" w:lineRule="auto"/>
        <w:ind w:firstLine="643" w:firstLineChars="200"/>
        <w:outlineLvl w:val="1"/>
        <w:rPr>
          <w:rFonts w:ascii="楷体" w:hAnsi="楷体" w:eastAsia="楷体" w:cs="楷体"/>
          <w:b/>
          <w:bCs/>
          <w:sz w:val="32"/>
          <w:szCs w:val="32"/>
        </w:rPr>
      </w:pPr>
      <w:bookmarkStart w:id="43" w:name="_Toc15437"/>
      <w:bookmarkStart w:id="44" w:name="_Toc21182"/>
      <w:bookmarkStart w:id="45" w:name="_Toc14245"/>
      <w:bookmarkStart w:id="46" w:name="_Toc24557"/>
      <w:bookmarkStart w:id="47" w:name="_Toc4291"/>
      <w:bookmarkStart w:id="48" w:name="_Toc3258"/>
      <w:bookmarkStart w:id="49" w:name="_Toc26360"/>
      <w:r>
        <w:rPr>
          <w:rFonts w:hint="eastAsia" w:ascii="楷体" w:hAnsi="楷体" w:eastAsia="楷体" w:cs="楷体"/>
          <w:b/>
          <w:bCs/>
          <w:sz w:val="32"/>
          <w:szCs w:val="32"/>
        </w:rPr>
        <w:t>（一）指导思想</w:t>
      </w:r>
      <w:bookmarkEnd w:id="43"/>
      <w:bookmarkEnd w:id="44"/>
      <w:bookmarkEnd w:id="45"/>
      <w:bookmarkEnd w:id="46"/>
      <w:bookmarkEnd w:id="47"/>
      <w:bookmarkEnd w:id="48"/>
      <w:bookmarkEnd w:id="49"/>
    </w:p>
    <w:p>
      <w:pPr>
        <w:ind w:firstLine="640" w:firstLineChars="200"/>
        <w:rPr>
          <w:rFonts w:ascii="仿宋" w:hAnsi="仿宋" w:eastAsia="仿宋_GB2312" w:cs="仿宋"/>
          <w:sz w:val="32"/>
          <w:szCs w:val="32"/>
        </w:rPr>
      </w:pPr>
      <w:r>
        <w:rPr>
          <w:rFonts w:hint="eastAsia" w:ascii="仿宋" w:hAnsi="仿宋" w:eastAsia="仿宋_GB2312" w:cs="仿宋"/>
          <w:sz w:val="32"/>
          <w:szCs w:val="32"/>
        </w:rPr>
        <w:t>以习近平新时代中国特色社会主义思想为指导，全面贯彻党的十九大和十九届二中、三中、四中、五中全会精神，深入落实习近平总书记考察湖南重要讲话精神，统筹推进“五位一体”总体布局和协调推进“四个全面”战略布局，坚持以人民为中心的发展思想，坚持推动供给侧结构性改革，坚持新发展理念，立足“一带一路”定位，实施“三高四新”战略，坚持创新引领开放崛起，坚定不移推动网络强国、制造强国、数字中国建设。以建设</w:t>
      </w:r>
      <w:r>
        <w:rPr>
          <w:rFonts w:hint="eastAsia" w:ascii="仿宋" w:hAnsi="仿宋" w:eastAsia="仿宋_GB2312" w:cs="仿宋"/>
          <w:color w:val="auto"/>
          <w:sz w:val="32"/>
          <w:szCs w:val="32"/>
        </w:rPr>
        <w:t>数字</w:t>
      </w:r>
      <w:r>
        <w:rPr>
          <w:rFonts w:hint="eastAsia" w:ascii="仿宋" w:hAnsi="仿宋" w:eastAsia="仿宋_GB2312" w:cs="仿宋"/>
          <w:color w:val="auto"/>
          <w:sz w:val="32"/>
          <w:szCs w:val="32"/>
          <w:lang w:eastAsia="zh-CN"/>
        </w:rPr>
        <w:t>强省</w:t>
      </w:r>
      <w:r>
        <w:rPr>
          <w:rFonts w:hint="eastAsia" w:ascii="仿宋" w:hAnsi="仿宋" w:eastAsia="仿宋_GB2312" w:cs="仿宋"/>
          <w:sz w:val="32"/>
          <w:szCs w:val="32"/>
        </w:rPr>
        <w:t>为总目标，加快推进经济社会数字化</w:t>
      </w:r>
      <w:r>
        <w:rPr>
          <w:rFonts w:hint="eastAsia" w:ascii="仿宋" w:hAnsi="仿宋" w:eastAsia="仿宋_GB2312" w:cs="仿宋"/>
          <w:sz w:val="32"/>
          <w:szCs w:val="32"/>
          <w:lang w:eastAsia="zh-CN"/>
        </w:rPr>
        <w:t>进程</w:t>
      </w:r>
      <w:r>
        <w:rPr>
          <w:rFonts w:hint="eastAsia" w:ascii="仿宋" w:hAnsi="仿宋" w:eastAsia="仿宋_GB2312" w:cs="仿宋"/>
          <w:sz w:val="32"/>
          <w:szCs w:val="32"/>
        </w:rPr>
        <w:t>，系统部署</w:t>
      </w:r>
      <w:r>
        <w:rPr>
          <w:rFonts w:hint="eastAsia" w:ascii="仿宋" w:hAnsi="仿宋" w:eastAsia="仿宋_GB2312" w:cs="仿宋"/>
          <w:sz w:val="32"/>
          <w:szCs w:val="32"/>
          <w:lang w:eastAsia="zh-CN"/>
        </w:rPr>
        <w:t>信息通信</w:t>
      </w:r>
      <w:r>
        <w:rPr>
          <w:rFonts w:hint="eastAsia" w:ascii="仿宋" w:hAnsi="仿宋" w:eastAsia="仿宋_GB2312" w:cs="仿宋"/>
          <w:sz w:val="32"/>
          <w:szCs w:val="32"/>
        </w:rPr>
        <w:t>基础设施，</w:t>
      </w:r>
      <w:r>
        <w:rPr>
          <w:rFonts w:hint="eastAsia" w:ascii="仿宋" w:hAnsi="仿宋" w:eastAsia="仿宋_GB2312" w:cs="仿宋"/>
          <w:sz w:val="32"/>
          <w:szCs w:val="32"/>
          <w:lang w:eastAsia="zh-CN"/>
        </w:rPr>
        <w:t>持续推动</w:t>
      </w:r>
      <w:r>
        <w:rPr>
          <w:rFonts w:hint="eastAsia" w:ascii="仿宋" w:hAnsi="仿宋" w:eastAsia="仿宋_GB2312" w:cs="仿宋"/>
          <w:sz w:val="32"/>
          <w:szCs w:val="32"/>
        </w:rPr>
        <w:t>网络提速提质，着力强化新技术研发和应用推广，建立完善新型行业监管体系，持续提升行业服务质量和安全保障能力，切实增强行业抗击风险能力，</w:t>
      </w:r>
      <w:r>
        <w:rPr>
          <w:rFonts w:hint="eastAsia" w:ascii="仿宋" w:hAnsi="仿宋" w:eastAsia="仿宋_GB2312" w:cs="仿宋"/>
          <w:sz w:val="32"/>
          <w:szCs w:val="32"/>
          <w:lang w:eastAsia="zh-CN"/>
        </w:rPr>
        <w:t>以</w:t>
      </w:r>
      <w:r>
        <w:rPr>
          <w:rFonts w:hint="eastAsia" w:ascii="仿宋" w:hAnsi="仿宋" w:eastAsia="仿宋_GB2312" w:cs="仿宋"/>
          <w:sz w:val="32"/>
          <w:szCs w:val="32"/>
        </w:rPr>
        <w:t>行业高质量发展，服务人民高品质生活，全面赋能经济社会转型升级，有力支撑现代化新湖南建设。</w:t>
      </w:r>
    </w:p>
    <w:p>
      <w:pPr>
        <w:spacing w:line="360" w:lineRule="auto"/>
        <w:ind w:firstLine="643" w:firstLineChars="200"/>
        <w:outlineLvl w:val="1"/>
        <w:rPr>
          <w:rFonts w:ascii="楷体" w:hAnsi="楷体" w:eastAsia="楷体" w:cs="楷体"/>
          <w:b/>
          <w:bCs/>
          <w:sz w:val="32"/>
          <w:szCs w:val="32"/>
        </w:rPr>
      </w:pPr>
      <w:bookmarkStart w:id="50" w:name="_Toc22609"/>
      <w:bookmarkStart w:id="51" w:name="_Toc25726"/>
      <w:bookmarkStart w:id="52" w:name="_Toc26234"/>
      <w:bookmarkStart w:id="53" w:name="_Toc29864"/>
      <w:bookmarkStart w:id="54" w:name="_Toc1978"/>
      <w:bookmarkStart w:id="55" w:name="_Toc5387"/>
      <w:bookmarkStart w:id="56" w:name="_Toc23594"/>
      <w:r>
        <w:rPr>
          <w:rFonts w:hint="eastAsia" w:ascii="楷体" w:hAnsi="楷体" w:eastAsia="楷体" w:cs="楷体"/>
          <w:b/>
          <w:bCs/>
          <w:sz w:val="32"/>
          <w:szCs w:val="32"/>
        </w:rPr>
        <w:t>（二）基本原则</w:t>
      </w:r>
      <w:bookmarkEnd w:id="50"/>
      <w:bookmarkEnd w:id="51"/>
      <w:bookmarkEnd w:id="52"/>
      <w:bookmarkEnd w:id="53"/>
      <w:bookmarkEnd w:id="54"/>
      <w:bookmarkEnd w:id="55"/>
      <w:bookmarkEnd w:id="56"/>
    </w:p>
    <w:p>
      <w:p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创新驱动。</w:t>
      </w:r>
      <w:r>
        <w:rPr>
          <w:rFonts w:hint="eastAsia" w:ascii="仿宋" w:hAnsi="仿宋" w:eastAsia="仿宋_GB2312" w:cs="仿宋"/>
          <w:sz w:val="32"/>
          <w:szCs w:val="32"/>
        </w:rPr>
        <w:t>重视核心技术创新，实现产业技术自立自强，</w:t>
      </w:r>
      <w:r>
        <w:rPr>
          <w:rFonts w:hint="eastAsia" w:ascii="仿宋" w:hAnsi="仿宋" w:eastAsia="仿宋_GB2312" w:cs="仿宋"/>
          <w:sz w:val="32"/>
          <w:szCs w:val="32"/>
          <w:lang w:eastAsia="zh-CN"/>
        </w:rPr>
        <w:t>创新发展思路和手段</w:t>
      </w:r>
      <w:r>
        <w:rPr>
          <w:rFonts w:hint="eastAsia" w:ascii="仿宋" w:hAnsi="仿宋" w:eastAsia="仿宋_GB2312" w:cs="仿宋"/>
          <w:sz w:val="32"/>
          <w:szCs w:val="32"/>
        </w:rPr>
        <w:t>，推动信息技术与传统行业更大范围、更深层次的融合创新。</w:t>
      </w:r>
    </w:p>
    <w:p>
      <w:p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均衡协调。</w:t>
      </w:r>
      <w:r>
        <w:rPr>
          <w:rFonts w:hint="eastAsia" w:ascii="仿宋" w:hAnsi="仿宋" w:eastAsia="仿宋_GB2312" w:cs="仿宋"/>
          <w:sz w:val="32"/>
          <w:szCs w:val="32"/>
        </w:rPr>
        <w:t>统筹推进</w:t>
      </w:r>
      <w:r>
        <w:rPr>
          <w:rFonts w:hint="eastAsia" w:ascii="仿宋" w:hAnsi="仿宋" w:eastAsia="仿宋_GB2312" w:cs="仿宋"/>
          <w:sz w:val="32"/>
          <w:szCs w:val="32"/>
          <w:lang w:eastAsia="zh-CN"/>
        </w:rPr>
        <w:t>信息通信</w:t>
      </w:r>
      <w:r>
        <w:rPr>
          <w:rFonts w:hint="eastAsia" w:ascii="仿宋" w:hAnsi="仿宋" w:eastAsia="仿宋_GB2312" w:cs="仿宋"/>
          <w:sz w:val="32"/>
          <w:szCs w:val="32"/>
        </w:rPr>
        <w:t>基础设施协同建设。加强政府部门间协同，推动融合领域协同治理，促进区域、城乡协调发展，全面支撑乡村振兴，支持革命老区、少数民族地区、偏远山区发展。</w:t>
      </w:r>
    </w:p>
    <w:p>
      <w:p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绿色环保。</w:t>
      </w:r>
      <w:r>
        <w:rPr>
          <w:rFonts w:hint="eastAsia" w:ascii="仿宋" w:hAnsi="仿宋" w:eastAsia="仿宋_GB2312" w:cs="仿宋"/>
          <w:sz w:val="32"/>
          <w:szCs w:val="32"/>
        </w:rPr>
        <w:t>加强绿色节能技术应用推广，推进基础设施绿色节能改造，深化基础设施共建共享，全面提高资源利用效率，降低</w:t>
      </w:r>
      <w:r>
        <w:rPr>
          <w:rFonts w:hint="eastAsia" w:ascii="仿宋" w:hAnsi="仿宋" w:eastAsia="仿宋_GB2312" w:cs="仿宋"/>
          <w:sz w:val="32"/>
          <w:szCs w:val="32"/>
          <w:lang w:eastAsia="zh-CN"/>
        </w:rPr>
        <w:t>行业</w:t>
      </w:r>
      <w:r>
        <w:rPr>
          <w:rFonts w:hint="eastAsia" w:ascii="仿宋" w:hAnsi="仿宋" w:eastAsia="仿宋_GB2312" w:cs="仿宋"/>
          <w:sz w:val="32"/>
          <w:szCs w:val="32"/>
        </w:rPr>
        <w:t>碳排放强度。</w:t>
      </w:r>
    </w:p>
    <w:p>
      <w:pPr>
        <w:widowControl/>
        <w:ind w:firstLine="643" w:firstLineChars="200"/>
        <w:jc w:val="left"/>
        <w:rPr>
          <w:rFonts w:ascii="仿宋" w:hAnsi="仿宋" w:eastAsia="仿宋_GB2312" w:cs="仿宋"/>
          <w:sz w:val="32"/>
          <w:szCs w:val="32"/>
        </w:rPr>
      </w:pPr>
      <w:r>
        <w:rPr>
          <w:rFonts w:hint="eastAsia" w:ascii="仿宋" w:hAnsi="仿宋" w:eastAsia="仿宋_GB2312" w:cs="仿宋"/>
          <w:b/>
          <w:bCs/>
          <w:sz w:val="32"/>
          <w:szCs w:val="32"/>
        </w:rPr>
        <w:t>开放合作。</w:t>
      </w:r>
      <w:r>
        <w:rPr>
          <w:rFonts w:ascii="仿宋" w:hAnsi="仿宋" w:eastAsia="仿宋_GB2312" w:cs="仿宋"/>
          <w:color w:val="000000"/>
          <w:kern w:val="0"/>
          <w:sz w:val="31"/>
          <w:szCs w:val="31"/>
          <w:lang w:bidi="ar"/>
        </w:rPr>
        <w:t>把开放合作</w:t>
      </w:r>
      <w:r>
        <w:rPr>
          <w:rFonts w:hint="eastAsia" w:ascii="仿宋" w:hAnsi="仿宋" w:eastAsia="仿宋_GB2312" w:cs="仿宋"/>
          <w:color w:val="000000"/>
          <w:kern w:val="0"/>
          <w:sz w:val="31"/>
          <w:szCs w:val="31"/>
          <w:lang w:bidi="ar"/>
        </w:rPr>
        <w:t>作为</w:t>
      </w:r>
      <w:r>
        <w:rPr>
          <w:rFonts w:ascii="仿宋" w:hAnsi="仿宋" w:eastAsia="仿宋_GB2312" w:cs="仿宋"/>
          <w:color w:val="000000"/>
          <w:kern w:val="0"/>
          <w:sz w:val="31"/>
          <w:szCs w:val="31"/>
          <w:lang w:bidi="ar"/>
        </w:rPr>
        <w:t>推动行业发展的战略要</w:t>
      </w:r>
      <w:r>
        <w:rPr>
          <w:rFonts w:hint="eastAsia" w:ascii="仿宋" w:hAnsi="仿宋" w:eastAsia="仿宋_GB2312" w:cs="仿宋"/>
          <w:color w:val="000000"/>
          <w:kern w:val="0"/>
          <w:sz w:val="31"/>
          <w:szCs w:val="31"/>
          <w:lang w:bidi="ar"/>
        </w:rPr>
        <w:t>点，加大信息通信市场开放的深度和广度。</w:t>
      </w:r>
      <w:r>
        <w:rPr>
          <w:rFonts w:hint="eastAsia" w:ascii="仿宋" w:hAnsi="仿宋" w:eastAsia="仿宋_GB2312" w:cs="仿宋"/>
          <w:sz w:val="32"/>
          <w:szCs w:val="32"/>
        </w:rPr>
        <w:t>加强产业链协同和跨行业合作，加速要素资源融通流动，加快数字赋能千行百业。</w:t>
      </w:r>
    </w:p>
    <w:p>
      <w:p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惠民共享。</w:t>
      </w:r>
      <w:r>
        <w:rPr>
          <w:rFonts w:hint="eastAsia" w:ascii="仿宋" w:hAnsi="仿宋" w:eastAsia="仿宋_GB2312" w:cs="仿宋"/>
          <w:sz w:val="32"/>
          <w:szCs w:val="32"/>
        </w:rPr>
        <w:t>持续推进电信普遍服务，推广更高品质数字化产品服务，推进信息无障碍和信息惠民，促进社会公平，增进民生福祉，不断增强人民群众获得感、幸福感、安全感。</w:t>
      </w:r>
    </w:p>
    <w:p>
      <w:p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安全可控。</w:t>
      </w:r>
      <w:r>
        <w:rPr>
          <w:rFonts w:hint="eastAsia" w:ascii="仿宋" w:hAnsi="仿宋" w:eastAsia="仿宋_GB2312" w:cs="仿宋"/>
          <w:sz w:val="32"/>
          <w:szCs w:val="32"/>
        </w:rPr>
        <w:t>统筹发展与安全，以总体国家安全观为指引，提升网络安全综合保障水平，将安全发展贯穿信息通信发展各领域和全过程。</w:t>
      </w:r>
    </w:p>
    <w:p>
      <w:pPr>
        <w:spacing w:line="360" w:lineRule="auto"/>
        <w:ind w:firstLine="643" w:firstLineChars="200"/>
        <w:outlineLvl w:val="1"/>
        <w:rPr>
          <w:rFonts w:ascii="楷体" w:hAnsi="楷体" w:eastAsia="楷体" w:cs="楷体"/>
          <w:b/>
          <w:bCs/>
          <w:sz w:val="32"/>
          <w:szCs w:val="32"/>
        </w:rPr>
      </w:pPr>
      <w:bookmarkStart w:id="57" w:name="_Toc19642"/>
      <w:bookmarkStart w:id="58" w:name="_Toc11131"/>
      <w:bookmarkStart w:id="59" w:name="_Toc10068"/>
      <w:bookmarkStart w:id="60" w:name="_Toc4344"/>
      <w:bookmarkStart w:id="61" w:name="_Toc22000"/>
      <w:bookmarkStart w:id="62" w:name="_Toc8817"/>
      <w:bookmarkStart w:id="63" w:name="_Toc10019"/>
      <w:r>
        <w:rPr>
          <w:rFonts w:hint="eastAsia" w:ascii="楷体" w:hAnsi="楷体" w:eastAsia="楷体" w:cs="楷体"/>
          <w:b/>
          <w:bCs/>
          <w:sz w:val="32"/>
          <w:szCs w:val="32"/>
        </w:rPr>
        <w:t>（三）发展目标</w:t>
      </w:r>
      <w:bookmarkEnd w:id="57"/>
      <w:bookmarkEnd w:id="58"/>
      <w:bookmarkEnd w:id="59"/>
      <w:bookmarkEnd w:id="60"/>
      <w:bookmarkEnd w:id="61"/>
      <w:bookmarkEnd w:id="62"/>
      <w:bookmarkEnd w:id="63"/>
    </w:p>
    <w:p>
      <w:pPr>
        <w:spacing w:line="360" w:lineRule="auto"/>
        <w:ind w:firstLine="640" w:firstLineChars="200"/>
        <w:rPr>
          <w:rFonts w:ascii="仿宋" w:hAnsi="仿宋" w:eastAsia="仿宋_GB2312" w:cs="仿宋"/>
          <w:b/>
          <w:bCs/>
          <w:sz w:val="32"/>
          <w:szCs w:val="32"/>
        </w:rPr>
      </w:pPr>
      <w:r>
        <w:rPr>
          <w:rFonts w:hint="eastAsia" w:ascii="仿宋" w:hAnsi="仿宋" w:eastAsia="仿宋_GB2312" w:cs="仿宋"/>
          <w:sz w:val="32"/>
          <w:szCs w:val="32"/>
        </w:rPr>
        <w:t>到2</w:t>
      </w:r>
      <w:r>
        <w:rPr>
          <w:rFonts w:ascii="仿宋" w:hAnsi="仿宋" w:eastAsia="仿宋_GB2312" w:cs="仿宋"/>
          <w:sz w:val="32"/>
          <w:szCs w:val="32"/>
        </w:rPr>
        <w:t>025</w:t>
      </w:r>
      <w:r>
        <w:rPr>
          <w:rFonts w:hint="eastAsia" w:ascii="仿宋" w:hAnsi="仿宋" w:eastAsia="仿宋_GB2312" w:cs="仿宋"/>
          <w:sz w:val="32"/>
          <w:szCs w:val="32"/>
        </w:rPr>
        <w:t>年，</w:t>
      </w:r>
      <w:r>
        <w:rPr>
          <w:rFonts w:hint="eastAsia" w:ascii="仿宋" w:hAnsi="仿宋" w:eastAsia="仿宋_GB2312" w:cs="仿宋"/>
          <w:sz w:val="32"/>
          <w:szCs w:val="32"/>
          <w:lang w:eastAsia="zh-CN"/>
        </w:rPr>
        <w:t>努力</w:t>
      </w:r>
      <w:r>
        <w:rPr>
          <w:rFonts w:hint="eastAsia" w:ascii="仿宋" w:hAnsi="仿宋" w:eastAsia="仿宋_GB2312" w:cs="仿宋"/>
          <w:sz w:val="32"/>
          <w:szCs w:val="32"/>
        </w:rPr>
        <w:t>将湖南建设成为全国领先的</w:t>
      </w:r>
      <w:r>
        <w:rPr>
          <w:rFonts w:hint="eastAsia" w:ascii="仿宋" w:hAnsi="仿宋" w:eastAsia="仿宋_GB2312" w:cs="仿宋"/>
          <w:sz w:val="32"/>
          <w:szCs w:val="32"/>
          <w:lang w:eastAsia="zh-CN"/>
        </w:rPr>
        <w:t>信息通信</w:t>
      </w:r>
      <w:r>
        <w:rPr>
          <w:rFonts w:hint="eastAsia" w:ascii="仿宋" w:hAnsi="仿宋" w:eastAsia="仿宋_GB2312" w:cs="仿宋"/>
          <w:sz w:val="32"/>
          <w:szCs w:val="32"/>
        </w:rPr>
        <w:t>基础设施</w:t>
      </w:r>
      <w:r>
        <w:rPr>
          <w:rFonts w:hint="eastAsia" w:ascii="仿宋" w:hAnsi="仿宋" w:eastAsia="仿宋_GB2312" w:cs="仿宋"/>
          <w:sz w:val="32"/>
          <w:szCs w:val="32"/>
          <w:lang w:eastAsia="zh-CN"/>
        </w:rPr>
        <w:t>建设和应用</w:t>
      </w:r>
      <w:r>
        <w:rPr>
          <w:rFonts w:hint="eastAsia" w:ascii="仿宋" w:hAnsi="仿宋" w:eastAsia="仿宋_GB2312" w:cs="仿宋"/>
          <w:sz w:val="32"/>
          <w:szCs w:val="32"/>
        </w:rPr>
        <w:t>高地，</w:t>
      </w:r>
      <w:r>
        <w:rPr>
          <w:rFonts w:hint="eastAsia" w:ascii="仿宋" w:hAnsi="仿宋" w:eastAsia="仿宋_GB2312" w:cs="仿宋"/>
          <w:sz w:val="32"/>
          <w:szCs w:val="32"/>
          <w:lang w:eastAsia="zh-CN"/>
        </w:rPr>
        <w:t>将信息通信业打造为千亿级行业。</w:t>
      </w:r>
      <w:r>
        <w:rPr>
          <w:rFonts w:hint="eastAsia" w:ascii="仿宋" w:hAnsi="仿宋" w:eastAsia="仿宋_GB2312" w:cs="仿宋"/>
          <w:sz w:val="32"/>
          <w:szCs w:val="32"/>
        </w:rPr>
        <w:t>基本建成高速泛在、云网融合、智能敏捷、绿色低碳、安全可控的智能化综合性信息</w:t>
      </w:r>
      <w:r>
        <w:rPr>
          <w:rFonts w:hint="eastAsia" w:ascii="仿宋" w:hAnsi="仿宋" w:eastAsia="仿宋_GB2312" w:cs="仿宋"/>
          <w:sz w:val="32"/>
          <w:szCs w:val="32"/>
          <w:lang w:eastAsia="zh-CN"/>
        </w:rPr>
        <w:t>通信</w:t>
      </w:r>
      <w:r>
        <w:rPr>
          <w:rFonts w:hint="eastAsia" w:ascii="仿宋" w:hAnsi="仿宋" w:eastAsia="仿宋_GB2312" w:cs="仿宋"/>
          <w:sz w:val="32"/>
          <w:szCs w:val="32"/>
        </w:rPr>
        <w:t>基础设施</w:t>
      </w:r>
      <w:r>
        <w:rPr>
          <w:rFonts w:hint="eastAsia" w:ascii="仿宋" w:hAnsi="仿宋" w:eastAsia="仿宋_GB2312" w:cs="仿宋"/>
          <w:sz w:val="32"/>
          <w:szCs w:val="32"/>
          <w:lang w:eastAsia="zh-CN"/>
        </w:rPr>
        <w:t>体系</w:t>
      </w:r>
      <w:r>
        <w:rPr>
          <w:rFonts w:hint="eastAsia" w:ascii="仿宋" w:hAnsi="仿宋" w:eastAsia="仿宋_GB2312" w:cs="仿宋"/>
          <w:sz w:val="32"/>
          <w:szCs w:val="32"/>
        </w:rPr>
        <w:t>，网络能力和算力供给能力大幅增强，新兴业态蓬勃发展，行业监管和服务水平大幅提升，网络安全和应急保障体系更加健全，全面提高</w:t>
      </w:r>
      <w:r>
        <w:rPr>
          <w:rFonts w:hint="eastAsia" w:ascii="仿宋" w:hAnsi="仿宋" w:eastAsia="仿宋_GB2312" w:cs="仿宋"/>
          <w:sz w:val="32"/>
          <w:szCs w:val="32"/>
          <w:lang w:eastAsia="zh-CN"/>
        </w:rPr>
        <w:t>信息通信业</w:t>
      </w:r>
      <w:r>
        <w:rPr>
          <w:rFonts w:hint="eastAsia" w:ascii="仿宋" w:hAnsi="仿宋" w:eastAsia="仿宋_GB2312" w:cs="仿宋"/>
          <w:sz w:val="32"/>
          <w:szCs w:val="32"/>
        </w:rPr>
        <w:t>与制造业融合水平，激发创新活力，提升社会治理能力，助力“三高四新”战略实施。</w:t>
      </w:r>
    </w:p>
    <w:p>
      <w:pPr>
        <w:autoSpaceDE w:val="0"/>
        <w:autoSpaceDN w:val="0"/>
        <w:adjustRightInd w:val="0"/>
        <w:spacing w:line="360" w:lineRule="auto"/>
        <w:ind w:firstLine="643" w:firstLineChars="200"/>
        <w:rPr>
          <w:rFonts w:ascii="仿宋" w:hAnsi="仿宋" w:eastAsia="仿宋_GB2312" w:cs="仿宋"/>
          <w:bCs/>
          <w:sz w:val="32"/>
          <w:szCs w:val="32"/>
        </w:rPr>
      </w:pPr>
      <w:r>
        <w:rPr>
          <w:rFonts w:hint="eastAsia" w:ascii="仿宋" w:hAnsi="仿宋" w:eastAsia="仿宋_GB2312" w:cs="仿宋"/>
          <w:b/>
          <w:bCs/>
          <w:sz w:val="32"/>
          <w:szCs w:val="32"/>
        </w:rPr>
        <w:t>通信基础设施高速通达。</w:t>
      </w:r>
      <w:r>
        <w:rPr>
          <w:rFonts w:hint="eastAsia" w:ascii="仿宋" w:hAnsi="仿宋" w:eastAsia="仿宋_GB2312" w:cs="仿宋"/>
          <w:sz w:val="32"/>
          <w:szCs w:val="32"/>
          <w:lang w:eastAsia="zh-CN"/>
        </w:rPr>
        <w:t>开通各类</w:t>
      </w:r>
      <w:r>
        <w:rPr>
          <w:rFonts w:hint="eastAsia" w:ascii="仿宋" w:hAnsi="仿宋" w:eastAsia="仿宋_GB2312" w:cs="仿宋"/>
          <w:sz w:val="32"/>
          <w:szCs w:val="32"/>
        </w:rPr>
        <w:t>5G基站15万个，</w:t>
      </w:r>
      <w:r>
        <w:rPr>
          <w:rFonts w:hint="eastAsia" w:ascii="仿宋" w:hAnsi="仿宋" w:eastAsia="仿宋_GB2312" w:cs="仿宋"/>
          <w:bCs/>
          <w:sz w:val="32"/>
          <w:szCs w:val="32"/>
        </w:rPr>
        <w:t>建成覆盖城乡、品质优良的5G网络</w:t>
      </w:r>
      <w:r>
        <w:rPr>
          <w:rFonts w:hint="eastAsia" w:ascii="仿宋" w:hAnsi="仿宋" w:eastAsia="仿宋_GB2312" w:cs="仿宋"/>
          <w:bCs/>
          <w:sz w:val="32"/>
          <w:szCs w:val="32"/>
          <w:lang w:eastAsia="zh-CN"/>
        </w:rPr>
        <w:t>，</w:t>
      </w:r>
      <w:r>
        <w:rPr>
          <w:rFonts w:hint="eastAsia" w:ascii="仿宋" w:hAnsi="仿宋" w:eastAsia="仿宋_GB2312" w:cs="仿宋"/>
          <w:bCs/>
          <w:sz w:val="32"/>
          <w:szCs w:val="32"/>
        </w:rPr>
        <w:t>全面部署千兆光纤网络，构建“5G+千兆光网”协同发展的“双千兆”网络。骨干网向智能化、云网融合方向持续演进，综合承载能力全面提升。I</w:t>
      </w:r>
      <w:r>
        <w:rPr>
          <w:rFonts w:ascii="仿宋" w:hAnsi="仿宋" w:eastAsia="仿宋_GB2312" w:cs="仿宋"/>
          <w:bCs/>
          <w:sz w:val="32"/>
          <w:szCs w:val="32"/>
        </w:rPr>
        <w:t>Pv6</w:t>
      </w:r>
      <w:r>
        <w:rPr>
          <w:rFonts w:hint="eastAsia" w:ascii="仿宋" w:hAnsi="仿宋" w:eastAsia="仿宋_GB2312" w:cs="仿宋"/>
          <w:bCs/>
          <w:sz w:val="32"/>
          <w:szCs w:val="32"/>
        </w:rPr>
        <w:t>应用普及率大幅提升，用户数和流量占比实现双提升。高</w:t>
      </w:r>
      <w:r>
        <w:rPr>
          <w:rFonts w:hint="eastAsia" w:ascii="仿宋" w:hAnsi="仿宋" w:eastAsia="仿宋_GB2312" w:cs="仿宋"/>
          <w:bCs/>
          <w:sz w:val="32"/>
          <w:szCs w:val="32"/>
          <w:lang w:eastAsia="zh-CN"/>
        </w:rPr>
        <w:t>中低</w:t>
      </w:r>
      <w:r>
        <w:rPr>
          <w:rFonts w:hint="eastAsia" w:ascii="仿宋" w:hAnsi="仿宋" w:eastAsia="仿宋_GB2312" w:cs="仿宋"/>
          <w:bCs/>
          <w:sz w:val="32"/>
          <w:szCs w:val="32"/>
        </w:rPr>
        <w:t>速率协同发展的移动物联网综合生态体系全面形成。</w:t>
      </w:r>
    </w:p>
    <w:p>
      <w:pPr>
        <w:autoSpaceDE w:val="0"/>
        <w:autoSpaceDN w:val="0"/>
        <w:adjustRightInd w:val="0"/>
        <w:spacing w:line="360" w:lineRule="auto"/>
        <w:ind w:firstLine="643" w:firstLineChars="200"/>
        <w:rPr>
          <w:rFonts w:ascii="仿宋" w:hAnsi="仿宋" w:eastAsia="仿宋_GB2312" w:cs="仿宋"/>
          <w:bCs/>
          <w:sz w:val="32"/>
          <w:szCs w:val="32"/>
        </w:rPr>
      </w:pPr>
      <w:r>
        <w:rPr>
          <w:rFonts w:hint="eastAsia" w:ascii="仿宋" w:hAnsi="仿宋" w:eastAsia="仿宋_GB2312" w:cs="仿宋"/>
          <w:b/>
          <w:bCs/>
          <w:sz w:val="32"/>
          <w:szCs w:val="32"/>
        </w:rPr>
        <w:t>智能计算能力</w:t>
      </w:r>
      <w:r>
        <w:rPr>
          <w:rFonts w:hint="eastAsia" w:ascii="仿宋" w:hAnsi="仿宋" w:eastAsia="仿宋_GB2312" w:cs="仿宋"/>
          <w:b/>
          <w:bCs/>
          <w:strike w:val="0"/>
          <w:color w:val="auto"/>
          <w:sz w:val="32"/>
          <w:szCs w:val="32"/>
          <w:lang w:eastAsia="zh-CN"/>
        </w:rPr>
        <w:t>显著增强</w:t>
      </w:r>
      <w:r>
        <w:rPr>
          <w:rFonts w:hint="eastAsia" w:ascii="仿宋" w:hAnsi="仿宋" w:eastAsia="仿宋_GB2312" w:cs="仿宋"/>
          <w:b/>
          <w:bCs/>
          <w:sz w:val="32"/>
          <w:szCs w:val="32"/>
        </w:rPr>
        <w:t>。</w:t>
      </w:r>
      <w:r>
        <w:rPr>
          <w:rFonts w:hint="eastAsia" w:ascii="仿宋" w:hAnsi="仿宋" w:eastAsia="仿宋_GB2312" w:cs="仿宋"/>
          <w:bCs/>
          <w:sz w:val="32"/>
          <w:szCs w:val="32"/>
        </w:rPr>
        <w:t>数据中心布局形成规模适度化、绿色集约化的发展新格局，精准匹配用户算力需求，全面建成云网融合、云边协同的智能化云计算底座，构建集约运营的行业数据智能枢纽，有效打通数据信息链和业务服务链，为全社会数字化转型提供更加全局化的弹性算力资源，人工智能、区块链等设施服务能力显著增强。</w:t>
      </w:r>
    </w:p>
    <w:p>
      <w:pPr>
        <w:autoSpaceDE w:val="0"/>
        <w:autoSpaceDN w:val="0"/>
        <w:adjustRightInd w:val="0"/>
        <w:spacing w:line="360" w:lineRule="auto"/>
        <w:ind w:firstLine="643" w:firstLineChars="200"/>
        <w:rPr>
          <w:rFonts w:ascii="仿宋" w:hAnsi="仿宋" w:eastAsia="仿宋_GB2312" w:cs="仿宋"/>
          <w:bCs/>
          <w:sz w:val="32"/>
          <w:szCs w:val="32"/>
        </w:rPr>
      </w:pPr>
      <w:r>
        <w:rPr>
          <w:rFonts w:hint="eastAsia" w:ascii="仿宋" w:hAnsi="仿宋" w:eastAsia="仿宋_GB2312" w:cs="仿宋"/>
          <w:b/>
          <w:bCs/>
          <w:sz w:val="32"/>
          <w:szCs w:val="32"/>
        </w:rPr>
        <w:t>融合基础设施全面发展。</w:t>
      </w:r>
      <w:r>
        <w:rPr>
          <w:rFonts w:hint="eastAsia" w:ascii="仿宋" w:hAnsi="仿宋" w:eastAsia="仿宋_GB2312" w:cs="仿宋"/>
          <w:b w:val="0"/>
          <w:bCs w:val="0"/>
          <w:sz w:val="32"/>
          <w:szCs w:val="32"/>
        </w:rPr>
        <w:t>加快推进工业互联网部署</w:t>
      </w:r>
      <w:r>
        <w:rPr>
          <w:rFonts w:hint="eastAsia" w:ascii="仿宋" w:hAnsi="仿宋" w:eastAsia="仿宋_GB2312" w:cs="仿宋"/>
          <w:b w:val="0"/>
          <w:bCs w:val="0"/>
          <w:sz w:val="32"/>
          <w:szCs w:val="32"/>
          <w:lang w:eastAsia="zh-CN"/>
        </w:rPr>
        <w:t>，基本建成覆盖各行业的工业互联网网络，</w:t>
      </w:r>
      <w:r>
        <w:rPr>
          <w:rStyle w:val="40"/>
          <w:rFonts w:hint="eastAsia" w:eastAsia="仿宋"/>
          <w:color w:val="auto"/>
          <w:sz w:val="32"/>
          <w:szCs w:val="32"/>
        </w:rPr>
        <w:t>完善工业互联网标识体系，</w:t>
      </w:r>
      <w:r>
        <w:rPr>
          <w:rStyle w:val="40"/>
          <w:rFonts w:eastAsia="仿宋"/>
          <w:color w:val="000000"/>
          <w:sz w:val="32"/>
          <w:szCs w:val="32"/>
        </w:rPr>
        <w:t>建设运营一批工业互联网标识解析二级节点，</w:t>
      </w:r>
      <w:r>
        <w:rPr>
          <w:rStyle w:val="40"/>
          <w:rFonts w:hint="eastAsia" w:eastAsia="仿宋"/>
          <w:color w:val="000000"/>
          <w:sz w:val="32"/>
          <w:szCs w:val="32"/>
        </w:rPr>
        <w:t>打造一批有影响力的工业互联网平台</w:t>
      </w:r>
      <w:r>
        <w:rPr>
          <w:rStyle w:val="40"/>
          <w:rFonts w:eastAsia="仿宋"/>
          <w:color w:val="000000"/>
          <w:sz w:val="32"/>
          <w:szCs w:val="32"/>
        </w:rPr>
        <w:t>。</w:t>
      </w:r>
      <w:r>
        <w:rPr>
          <w:rFonts w:hint="eastAsia" w:ascii="仿宋" w:hAnsi="仿宋" w:eastAsia="仿宋_GB2312" w:cs="仿宋"/>
          <w:sz w:val="32"/>
          <w:szCs w:val="32"/>
          <w:shd w:val="clear" w:color="auto" w:fill="FFFFFF"/>
        </w:rPr>
        <w:t>依托5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等信息</w:t>
      </w:r>
      <w:r>
        <w:rPr>
          <w:rFonts w:hint="eastAsia" w:ascii="仿宋" w:hAnsi="仿宋" w:eastAsia="仿宋_GB2312" w:cs="仿宋"/>
          <w:sz w:val="32"/>
          <w:szCs w:val="32"/>
          <w:shd w:val="clear" w:color="auto" w:fill="FFFFFF"/>
          <w:lang w:eastAsia="zh-CN"/>
        </w:rPr>
        <w:t>通信</w:t>
      </w:r>
      <w:r>
        <w:rPr>
          <w:rFonts w:hint="eastAsia" w:ascii="仿宋" w:hAnsi="仿宋" w:eastAsia="仿宋_GB2312" w:cs="仿宋"/>
          <w:sz w:val="32"/>
          <w:szCs w:val="32"/>
          <w:shd w:val="clear" w:color="auto" w:fill="FFFFFF"/>
        </w:rPr>
        <w:t>基础设施</w:t>
      </w:r>
      <w:r>
        <w:rPr>
          <w:rStyle w:val="40"/>
          <w:rFonts w:hint="eastAsia" w:eastAsia="仿宋"/>
          <w:color w:val="000000"/>
          <w:sz w:val="32"/>
          <w:szCs w:val="32"/>
        </w:rPr>
        <w:t>聚焦智能制造、智能网联、数字文创等重点方向，开展一批基础设施智能化融合应用示范。升级完善北斗基准站网，北斗应用程度显著提高。</w:t>
      </w:r>
    </w:p>
    <w:p>
      <w:pPr>
        <w:autoSpaceDE w:val="0"/>
        <w:autoSpaceDN w:val="0"/>
        <w:adjustRightInd w:val="0"/>
        <w:spacing w:line="360" w:lineRule="auto"/>
        <w:ind w:firstLine="643" w:firstLineChars="200"/>
        <w:jc w:val="left"/>
        <w:rPr>
          <w:rFonts w:ascii="仿宋" w:hAnsi="仿宋" w:eastAsia="仿宋_GB2312" w:cs="仿宋"/>
          <w:b/>
          <w:bCs/>
          <w:sz w:val="32"/>
          <w:szCs w:val="32"/>
        </w:rPr>
      </w:pPr>
      <w:r>
        <w:rPr>
          <w:rFonts w:hint="eastAsia" w:ascii="仿宋" w:hAnsi="仿宋" w:eastAsia="仿宋_GB2312" w:cs="仿宋"/>
          <w:b/>
          <w:bCs/>
          <w:sz w:val="32"/>
          <w:szCs w:val="32"/>
        </w:rPr>
        <w:t>绿色低碳发展迈上新台阶。</w:t>
      </w:r>
      <w:r>
        <w:rPr>
          <w:rFonts w:hint="eastAsia" w:ascii="仿宋" w:hAnsi="仿宋" w:eastAsia="仿宋_GB2312" w:cs="仿宋"/>
          <w:bCs/>
          <w:sz w:val="32"/>
          <w:szCs w:val="32"/>
        </w:rPr>
        <w:t>推动信息通信基础设施统筹集约建设，</w:t>
      </w:r>
      <w:r>
        <w:rPr>
          <w:rFonts w:hint="eastAsia" w:ascii="仿宋" w:hAnsi="仿宋" w:eastAsia="仿宋_GB2312" w:cs="仿宋"/>
          <w:bCs/>
          <w:sz w:val="32"/>
          <w:szCs w:val="32"/>
          <w:lang w:eastAsia="zh-CN"/>
        </w:rPr>
        <w:t>持续</w:t>
      </w:r>
      <w:r>
        <w:rPr>
          <w:rFonts w:hint="eastAsia" w:ascii="仿宋" w:hAnsi="仿宋" w:eastAsia="仿宋_GB2312" w:cs="仿宋"/>
          <w:bCs/>
          <w:sz w:val="32"/>
          <w:szCs w:val="32"/>
        </w:rPr>
        <w:t>提升共建共享水平，降低社会资源消耗，保障人民群众通信权益，提升网络服务感知，节能减排新技术和新设备广泛应用，</w:t>
      </w:r>
      <w:r>
        <w:rPr>
          <w:rFonts w:hint="eastAsia" w:ascii="仿宋" w:hAnsi="仿宋" w:eastAsia="仿宋_GB2312" w:cs="仿宋"/>
          <w:bCs/>
          <w:sz w:val="32"/>
          <w:szCs w:val="32"/>
          <w:lang w:eastAsia="zh-CN"/>
        </w:rPr>
        <w:t>在运营数据中心</w:t>
      </w:r>
      <w:r>
        <w:rPr>
          <w:rFonts w:hint="eastAsia" w:ascii="仿宋" w:hAnsi="仿宋" w:eastAsia="仿宋_GB2312" w:cs="仿宋"/>
          <w:bCs/>
          <w:sz w:val="32"/>
          <w:szCs w:val="32"/>
        </w:rPr>
        <w:t>PUE</w:t>
      </w:r>
      <w:r>
        <w:rPr>
          <w:rFonts w:hint="eastAsia" w:ascii="仿宋" w:hAnsi="仿宋" w:eastAsia="仿宋_GB2312" w:cs="仿宋"/>
          <w:bCs/>
          <w:sz w:val="32"/>
          <w:szCs w:val="32"/>
          <w:lang w:eastAsia="zh-CN"/>
        </w:rPr>
        <w:t>值力争降到</w:t>
      </w:r>
      <w:r>
        <w:rPr>
          <w:rFonts w:hint="eastAsia" w:ascii="仿宋" w:hAnsi="仿宋" w:eastAsia="仿宋_GB2312" w:cs="仿宋"/>
          <w:bCs/>
          <w:sz w:val="32"/>
          <w:szCs w:val="32"/>
          <w:lang w:val="en-US" w:eastAsia="zh-CN"/>
        </w:rPr>
        <w:t>1.55以下</w:t>
      </w:r>
      <w:r>
        <w:rPr>
          <w:rFonts w:hint="eastAsia" w:ascii="仿宋" w:hAnsi="仿宋" w:eastAsia="仿宋_GB2312" w:cs="仿宋"/>
          <w:bCs/>
          <w:sz w:val="32"/>
          <w:szCs w:val="32"/>
          <w:lang w:eastAsia="zh-CN"/>
        </w:rPr>
        <w:t>，</w:t>
      </w:r>
      <w:r>
        <w:rPr>
          <w:rFonts w:hint="eastAsia" w:ascii="仿宋" w:hAnsi="仿宋" w:eastAsia="仿宋_GB2312" w:cs="仿宋"/>
          <w:bCs/>
          <w:sz w:val="32"/>
          <w:szCs w:val="32"/>
        </w:rPr>
        <w:t>新建大型、超大型数据中心PUE</w:t>
      </w:r>
      <w:r>
        <w:rPr>
          <w:rFonts w:hint="eastAsia" w:ascii="仿宋" w:hAnsi="仿宋" w:eastAsia="仿宋_GB2312" w:cs="仿宋"/>
          <w:bCs/>
          <w:sz w:val="32"/>
          <w:szCs w:val="32"/>
          <w:lang w:eastAsia="zh-CN"/>
        </w:rPr>
        <w:t>值力争</w:t>
      </w:r>
      <w:r>
        <w:rPr>
          <w:rFonts w:hint="eastAsia" w:ascii="仿宋" w:hAnsi="仿宋" w:eastAsia="仿宋_GB2312" w:cs="仿宋"/>
          <w:bCs/>
          <w:sz w:val="32"/>
          <w:szCs w:val="32"/>
        </w:rPr>
        <w:t>降到1.35以下。单位电信业务总量综合能耗水平</w:t>
      </w:r>
      <w:r>
        <w:rPr>
          <w:rFonts w:hint="eastAsia" w:ascii="仿宋" w:hAnsi="仿宋" w:eastAsia="仿宋_GB2312" w:cs="仿宋"/>
          <w:bCs/>
          <w:sz w:val="32"/>
          <w:szCs w:val="32"/>
          <w:lang w:eastAsia="zh-CN"/>
        </w:rPr>
        <w:t>持续</w:t>
      </w:r>
      <w:r>
        <w:rPr>
          <w:rFonts w:hint="eastAsia" w:ascii="仿宋" w:hAnsi="仿宋" w:eastAsia="仿宋_GB2312" w:cs="仿宋"/>
          <w:bCs/>
          <w:sz w:val="32"/>
          <w:szCs w:val="32"/>
        </w:rPr>
        <w:t>下降，</w:t>
      </w:r>
      <w:r>
        <w:rPr>
          <w:rFonts w:hint="eastAsia" w:ascii="仿宋" w:hAnsi="仿宋" w:eastAsia="仿宋_GB2312" w:cs="仿宋"/>
          <w:bCs/>
          <w:sz w:val="32"/>
          <w:szCs w:val="32"/>
          <w:lang w:eastAsia="zh-CN"/>
        </w:rPr>
        <w:t>行业</w:t>
      </w:r>
      <w:r>
        <w:rPr>
          <w:rFonts w:hint="eastAsia" w:ascii="仿宋" w:hAnsi="仿宋" w:eastAsia="仿宋_GB2312" w:cs="仿宋"/>
          <w:bCs/>
          <w:sz w:val="32"/>
          <w:szCs w:val="32"/>
        </w:rPr>
        <w:t>绿色发展</w:t>
      </w:r>
      <w:r>
        <w:rPr>
          <w:rFonts w:hint="eastAsia" w:ascii="仿宋" w:hAnsi="仿宋" w:eastAsia="仿宋_GB2312" w:cs="仿宋"/>
          <w:bCs/>
          <w:sz w:val="32"/>
          <w:szCs w:val="32"/>
          <w:lang w:eastAsia="zh-CN"/>
        </w:rPr>
        <w:t>良好态势基本形成</w:t>
      </w:r>
      <w:r>
        <w:rPr>
          <w:rFonts w:hint="eastAsia" w:ascii="仿宋" w:hAnsi="仿宋" w:eastAsia="仿宋_GB2312" w:cs="仿宋"/>
          <w:bCs/>
          <w:sz w:val="32"/>
          <w:szCs w:val="32"/>
        </w:rPr>
        <w:t>。</w:t>
      </w:r>
    </w:p>
    <w:p>
      <w:p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数字应用生态更加繁荣。</w:t>
      </w:r>
      <w:r>
        <w:rPr>
          <w:rFonts w:hint="eastAsia" w:ascii="仿宋" w:hAnsi="仿宋" w:eastAsia="仿宋_GB2312" w:cs="仿宋"/>
          <w:sz w:val="32"/>
          <w:szCs w:val="32"/>
          <w:lang w:eastAsia="zh-CN"/>
        </w:rPr>
        <w:t>信息通信</w:t>
      </w:r>
      <w:r>
        <w:rPr>
          <w:rFonts w:hint="eastAsia" w:ascii="仿宋" w:hAnsi="仿宋" w:eastAsia="仿宋_GB2312" w:cs="仿宋"/>
          <w:sz w:val="32"/>
          <w:szCs w:val="32"/>
        </w:rPr>
        <w:t>基础设施有力支撑经济社会数字化、网络化、智能化转型，5G融合应用生态体系基本建立,通过创新应用引领高质量数字生活，数字技术与产业深度融合赋能千行百业转型升级和高质量发展，对数字政府、社会治理支撑更加有力，推进社会治理体系和治理能力现代化。</w:t>
      </w:r>
    </w:p>
    <w:p>
      <w:pPr>
        <w:spacing w:line="360" w:lineRule="auto"/>
        <w:ind w:firstLine="643" w:firstLineChars="200"/>
        <w:rPr>
          <w:rFonts w:ascii="仿宋" w:hAnsi="仿宋" w:eastAsia="仿宋_GB2312" w:cs="仿宋"/>
          <w:sz w:val="32"/>
          <w:szCs w:val="32"/>
        </w:rPr>
      </w:pPr>
      <w:bookmarkStart w:id="64" w:name="_Toc211"/>
      <w:r>
        <w:rPr>
          <w:rFonts w:hint="eastAsia" w:ascii="仿宋" w:hAnsi="仿宋" w:eastAsia="仿宋_GB2312" w:cs="仿宋"/>
          <w:b/>
          <w:bCs/>
          <w:sz w:val="32"/>
          <w:szCs w:val="32"/>
        </w:rPr>
        <w:t>监管体系和能力现代化</w:t>
      </w:r>
      <w:bookmarkEnd w:id="64"/>
      <w:r>
        <w:rPr>
          <w:rFonts w:hint="eastAsia" w:ascii="仿宋" w:hAnsi="仿宋" w:eastAsia="仿宋_GB2312" w:cs="仿宋"/>
          <w:b/>
          <w:bCs/>
          <w:sz w:val="32"/>
          <w:szCs w:val="32"/>
          <w:lang w:eastAsia="zh-CN"/>
        </w:rPr>
        <w:t>基本</w:t>
      </w:r>
      <w:r>
        <w:rPr>
          <w:rFonts w:hint="eastAsia" w:ascii="仿宋" w:hAnsi="仿宋" w:eastAsia="仿宋_GB2312" w:cs="仿宋"/>
          <w:b/>
          <w:bCs/>
          <w:sz w:val="32"/>
          <w:szCs w:val="32"/>
        </w:rPr>
        <w:t>实现。</w:t>
      </w:r>
      <w:r>
        <w:rPr>
          <w:rFonts w:hint="eastAsia" w:ascii="仿宋" w:hAnsi="仿宋" w:eastAsia="仿宋_GB2312" w:cs="仿宋"/>
          <w:sz w:val="32"/>
          <w:szCs w:val="32"/>
        </w:rPr>
        <w:t>完善监管基础支撑能力，运用现代信息技术构建“以网管网、全网联动”的监管支撑体系。深化“放管服”改革，深入推进简政放权，继续优化市场准入，加强事中事后监管，以高质量监管提升治理水平。加快构建新型监管机制，以信用为基础，以协同治理为抓手，打造政府主导、企业自治、行业自律、社会监督的协同共治模式。提升监管科技水平，加强跨部门、跨地区的信息互通和监管协同，全面提升行业监管专业化、精准化、智能化水平。</w:t>
      </w:r>
    </w:p>
    <w:p>
      <w:pPr>
        <w:spacing w:line="360" w:lineRule="auto"/>
        <w:ind w:firstLine="643" w:firstLineChars="200"/>
        <w:rPr>
          <w:rFonts w:ascii="仿宋" w:hAnsi="仿宋" w:eastAsia="仿宋_GB2312" w:cs="仿宋"/>
          <w:sz w:val="32"/>
          <w:szCs w:val="32"/>
        </w:rPr>
      </w:pPr>
      <w:bookmarkStart w:id="65" w:name="_Toc15883"/>
      <w:r>
        <w:rPr>
          <w:rFonts w:hint="eastAsia" w:ascii="仿宋" w:hAnsi="仿宋" w:eastAsia="仿宋_GB2312" w:cs="仿宋"/>
          <w:b/>
          <w:bCs/>
          <w:sz w:val="32"/>
          <w:szCs w:val="32"/>
        </w:rPr>
        <w:t>服务水平及用户满意度持续提高</w:t>
      </w:r>
      <w:bookmarkEnd w:id="65"/>
      <w:r>
        <w:rPr>
          <w:rFonts w:hint="eastAsia" w:ascii="仿宋" w:hAnsi="仿宋" w:eastAsia="仿宋_GB2312" w:cs="仿宋"/>
          <w:b/>
          <w:bCs/>
          <w:sz w:val="32"/>
          <w:szCs w:val="32"/>
        </w:rPr>
        <w:t>。</w:t>
      </w:r>
      <w:r>
        <w:rPr>
          <w:rFonts w:hint="eastAsia" w:ascii="仿宋" w:hAnsi="仿宋" w:eastAsia="仿宋_GB2312" w:cs="仿宋"/>
          <w:sz w:val="32"/>
          <w:szCs w:val="32"/>
        </w:rPr>
        <w:t>服务质量监督管理体系进一步完善，用户服务水平进一步提升。用户个人信息保护力度显著提高，用户诉求表达、利益协调、权益保障通道畅通和响应及时，用户合法权益得到切实保障</w:t>
      </w:r>
      <w:r>
        <w:rPr>
          <w:rFonts w:hint="eastAsia" w:ascii="仿宋" w:hAnsi="仿宋" w:eastAsia="仿宋_GB2312" w:cs="仿宋"/>
          <w:sz w:val="32"/>
          <w:szCs w:val="32"/>
          <w:shd w:val="clear" w:color="auto" w:fill="FFFFFF"/>
        </w:rPr>
        <w:t>。</w:t>
      </w:r>
    </w:p>
    <w:p>
      <w:pPr>
        <w:autoSpaceDE w:val="0"/>
        <w:autoSpaceDN w:val="0"/>
        <w:adjustRightInd w:val="0"/>
        <w:spacing w:line="360" w:lineRule="auto"/>
        <w:ind w:firstLine="643" w:firstLineChars="200"/>
        <w:rPr>
          <w:rFonts w:ascii="仿宋" w:hAnsi="仿宋" w:eastAsia="仿宋_GB2312" w:cs="仿宋"/>
          <w:sz w:val="32"/>
          <w:szCs w:val="32"/>
        </w:rPr>
      </w:pPr>
      <w:bookmarkStart w:id="66" w:name="_Toc13736"/>
      <w:r>
        <w:rPr>
          <w:rFonts w:hint="eastAsia" w:ascii="仿宋" w:hAnsi="仿宋" w:eastAsia="仿宋_GB2312" w:cs="仿宋"/>
          <w:b/>
          <w:bCs/>
          <w:sz w:val="32"/>
          <w:szCs w:val="32"/>
        </w:rPr>
        <w:t>网络安全与综合保障能力大幅提升</w:t>
      </w:r>
      <w:bookmarkEnd w:id="66"/>
      <w:r>
        <w:rPr>
          <w:rFonts w:hint="eastAsia" w:ascii="仿宋" w:hAnsi="仿宋" w:eastAsia="仿宋_GB2312" w:cs="仿宋"/>
          <w:b/>
          <w:bCs/>
          <w:sz w:val="32"/>
          <w:szCs w:val="32"/>
        </w:rPr>
        <w:t>。</w:t>
      </w:r>
      <w:r>
        <w:rPr>
          <w:rFonts w:hint="eastAsia" w:ascii="仿宋" w:hAnsi="仿宋" w:eastAsia="仿宋_GB2312" w:cs="仿宋"/>
          <w:sz w:val="32"/>
          <w:szCs w:val="32"/>
        </w:rPr>
        <w:t>网络信息安全标准规范、治理体系更加健全，关键信息</w:t>
      </w:r>
      <w:r>
        <w:rPr>
          <w:rFonts w:hint="eastAsia" w:ascii="仿宋" w:hAnsi="仿宋" w:eastAsia="仿宋_GB2312" w:cs="仿宋"/>
          <w:sz w:val="32"/>
          <w:szCs w:val="32"/>
          <w:lang w:eastAsia="zh-CN"/>
        </w:rPr>
        <w:t>通信</w:t>
      </w:r>
      <w:r>
        <w:rPr>
          <w:rFonts w:hint="eastAsia" w:ascii="仿宋" w:hAnsi="仿宋" w:eastAsia="仿宋_GB2312" w:cs="仿宋"/>
          <w:sz w:val="32"/>
          <w:szCs w:val="32"/>
        </w:rPr>
        <w:t>基础设施安全保障能力显著增强，网络与信息安全威胁治理能力全面提升，网络与信息安全责任体系、网络数据保护体系及新技术新业务安全管理机制更加成熟，网络安全产业创新发展形成国内领先优势。</w:t>
      </w:r>
    </w:p>
    <w:p>
      <w:pPr>
        <w:autoSpaceDE/>
        <w:autoSpaceDN/>
        <w:adjustRightInd/>
        <w:spacing w:line="240" w:lineRule="auto"/>
        <w:ind w:firstLine="0" w:firstLineChars="0"/>
        <w:jc w:val="left"/>
        <w:rPr>
          <w:rFonts w:hint="eastAsia" w:ascii="仿宋" w:hAnsi="仿宋" w:eastAsia="仿宋_GB2312" w:cs="仿宋"/>
          <w:b/>
          <w:bCs/>
          <w:sz w:val="24"/>
          <w:szCs w:val="24"/>
        </w:rPr>
      </w:pPr>
      <w:r>
        <w:rPr>
          <w:rFonts w:hint="eastAsia" w:ascii="仿宋" w:hAnsi="仿宋" w:eastAsia="仿宋_GB2312" w:cs="仿宋"/>
          <w:b/>
          <w:bCs/>
          <w:sz w:val="24"/>
          <w:szCs w:val="24"/>
        </w:rPr>
        <w:br w:type="page"/>
      </w:r>
    </w:p>
    <w:p>
      <w:pPr>
        <w:autoSpaceDE w:val="0"/>
        <w:autoSpaceDN w:val="0"/>
        <w:adjustRightInd w:val="0"/>
        <w:spacing w:line="360" w:lineRule="auto"/>
        <w:ind w:firstLine="482" w:firstLineChars="200"/>
        <w:jc w:val="center"/>
        <w:rPr>
          <w:rFonts w:ascii="仿宋" w:hAnsi="仿宋" w:eastAsia="仿宋" w:cs="仿宋"/>
          <w:sz w:val="24"/>
          <w:szCs w:val="24"/>
        </w:rPr>
      </w:pPr>
      <w:r>
        <w:rPr>
          <w:rFonts w:hint="eastAsia" w:ascii="仿宋" w:hAnsi="仿宋" w:eastAsia="仿宋_GB2312" w:cs="仿宋"/>
          <w:b/>
          <w:bCs/>
          <w:sz w:val="24"/>
          <w:szCs w:val="24"/>
        </w:rPr>
        <w:t>表1 发展主要预期指标</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484"/>
        <w:gridCol w:w="3780"/>
        <w:gridCol w:w="780"/>
        <w:gridCol w:w="824"/>
        <w:gridCol w:w="975"/>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14" w:type="pct"/>
            <w:tcBorders>
              <w:tl2br w:val="nil"/>
              <w:tr2bl w:val="nil"/>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类型</w:t>
            </w:r>
          </w:p>
        </w:tc>
        <w:tc>
          <w:tcPr>
            <w:tcW w:w="283" w:type="pct"/>
            <w:tcBorders>
              <w:tl2br w:val="nil"/>
              <w:tr2bl w:val="nil"/>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217" w:type="pct"/>
            <w:tcBorders>
              <w:tl2br w:val="nil"/>
              <w:tr2bl w:val="nil"/>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指标名称</w:t>
            </w:r>
          </w:p>
        </w:tc>
        <w:tc>
          <w:tcPr>
            <w:tcW w:w="457" w:type="pct"/>
            <w:tcBorders>
              <w:tl2br w:val="nil"/>
              <w:tr2bl w:val="nil"/>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483" w:type="pct"/>
            <w:tcBorders>
              <w:tl2br w:val="nil"/>
              <w:tr2bl w:val="nil"/>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2020年</w:t>
            </w:r>
          </w:p>
        </w:tc>
        <w:tc>
          <w:tcPr>
            <w:tcW w:w="572" w:type="pct"/>
            <w:tcBorders>
              <w:tl2br w:val="nil"/>
              <w:tr2bl w:val="nil"/>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2025年</w:t>
            </w:r>
          </w:p>
        </w:tc>
        <w:tc>
          <w:tcPr>
            <w:tcW w:w="570" w:type="pct"/>
            <w:tcBorders>
              <w:tl2br w:val="nil"/>
              <w:tr2bl w:val="nil"/>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年均/累计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4" w:type="pct"/>
            <w:vMerge w:val="restart"/>
            <w:tcBorders>
              <w:tl2br w:val="nil"/>
              <w:tr2bl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总体规模</w:t>
            </w:r>
          </w:p>
        </w:tc>
        <w:tc>
          <w:tcPr>
            <w:tcW w:w="283" w:type="pct"/>
            <w:vMerge w:val="restart"/>
            <w:tcBorders>
              <w:tl2br w:val="nil"/>
              <w:tr2bl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信息通信收入</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亿元</w:t>
            </w:r>
          </w:p>
        </w:tc>
        <w:tc>
          <w:tcPr>
            <w:tcW w:w="824"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700</w:t>
            </w:r>
          </w:p>
        </w:tc>
        <w:tc>
          <w:tcPr>
            <w:tcW w:w="975" w:type="dxa"/>
            <w:tcBorders>
              <w:tl2br w:val="nil"/>
              <w:tr2bl w:val="nil"/>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972"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vMerge w:val="continue"/>
            <w:tcBorders>
              <w:tl2br w:val="nil"/>
              <w:tr2bl w:val="nil"/>
            </w:tcBorders>
            <w:shd w:val="clear" w:color="auto" w:fill="auto"/>
            <w:noWrap/>
            <w:vAlign w:val="center"/>
          </w:tcPr>
          <w:p>
            <w:pPr>
              <w:jc w:val="left"/>
              <w:rPr>
                <w:rFonts w:ascii="宋体" w:hAnsi="宋体" w:cs="宋体"/>
                <w:color w:val="000000"/>
                <w:sz w:val="22"/>
                <w:szCs w:val="22"/>
              </w:rPr>
            </w:pP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其中：基础电信企业收入</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亿元</w:t>
            </w:r>
          </w:p>
        </w:tc>
        <w:tc>
          <w:tcPr>
            <w:tcW w:w="824"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470</w:t>
            </w:r>
          </w:p>
        </w:tc>
        <w:tc>
          <w:tcPr>
            <w:tcW w:w="975"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650</w:t>
            </w:r>
          </w:p>
        </w:tc>
        <w:tc>
          <w:tcPr>
            <w:tcW w:w="972"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vMerge w:val="continue"/>
            <w:tcBorders>
              <w:tl2br w:val="nil"/>
              <w:tr2bl w:val="nil"/>
            </w:tcBorders>
            <w:shd w:val="clear" w:color="auto" w:fill="auto"/>
            <w:noWrap/>
            <w:vAlign w:val="center"/>
          </w:tcPr>
          <w:p>
            <w:pPr>
              <w:jc w:val="left"/>
              <w:rPr>
                <w:rFonts w:ascii="宋体" w:hAnsi="宋体" w:cs="宋体"/>
                <w:color w:val="000000"/>
                <w:sz w:val="22"/>
                <w:szCs w:val="22"/>
              </w:rPr>
            </w:pP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其中：互联网企业收入</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亿元</w:t>
            </w:r>
          </w:p>
        </w:tc>
        <w:tc>
          <w:tcPr>
            <w:tcW w:w="824"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w:t>
            </w:r>
          </w:p>
        </w:tc>
        <w:tc>
          <w:tcPr>
            <w:tcW w:w="975"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FF0000"/>
                <w:sz w:val="22"/>
                <w:szCs w:val="22"/>
              </w:rPr>
            </w:pPr>
            <w:r>
              <w:rPr>
                <w:rFonts w:hint="eastAsia" w:ascii="宋体" w:hAnsi="宋体" w:eastAsia="宋体" w:cs="宋体"/>
                <w:i w:val="0"/>
                <w:iCs w:val="0"/>
                <w:color w:val="auto"/>
                <w:kern w:val="0"/>
                <w:sz w:val="22"/>
                <w:szCs w:val="22"/>
                <w:u w:val="none"/>
                <w:lang w:val="en-US" w:eastAsia="zh-CN" w:bidi="ar"/>
              </w:rPr>
              <w:t>350</w:t>
            </w:r>
          </w:p>
        </w:tc>
        <w:tc>
          <w:tcPr>
            <w:tcW w:w="972"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vMerge w:val="restart"/>
            <w:tcBorders>
              <w:tl2br w:val="nil"/>
              <w:tr2bl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信息通信累计投资</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亿元</w:t>
            </w:r>
          </w:p>
        </w:tc>
        <w:tc>
          <w:tcPr>
            <w:tcW w:w="824"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780</w:t>
            </w:r>
          </w:p>
        </w:tc>
        <w:tc>
          <w:tcPr>
            <w:tcW w:w="975"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900</w:t>
            </w:r>
          </w:p>
        </w:tc>
        <w:tc>
          <w:tcPr>
            <w:tcW w:w="972"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vMerge w:val="continue"/>
            <w:tcBorders>
              <w:tl2br w:val="nil"/>
              <w:tr2bl w:val="nil"/>
            </w:tcBorders>
            <w:shd w:val="clear" w:color="auto" w:fill="auto"/>
            <w:noWrap/>
            <w:vAlign w:val="center"/>
          </w:tcPr>
          <w:p>
            <w:pPr>
              <w:jc w:val="left"/>
              <w:rPr>
                <w:rFonts w:ascii="宋体" w:hAnsi="宋体" w:cs="宋体"/>
                <w:color w:val="000000"/>
                <w:sz w:val="22"/>
                <w:szCs w:val="22"/>
              </w:rPr>
            </w:pP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其中：基础电信企业累计投资</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亿元</w:t>
            </w:r>
          </w:p>
        </w:tc>
        <w:tc>
          <w:tcPr>
            <w:tcW w:w="824"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660</w:t>
            </w:r>
          </w:p>
        </w:tc>
        <w:tc>
          <w:tcPr>
            <w:tcW w:w="975"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750</w:t>
            </w:r>
          </w:p>
        </w:tc>
        <w:tc>
          <w:tcPr>
            <w:tcW w:w="972"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vMerge w:val="continue"/>
            <w:tcBorders>
              <w:tl2br w:val="nil"/>
              <w:tr2bl w:val="nil"/>
            </w:tcBorders>
            <w:shd w:val="clear" w:color="auto" w:fill="auto"/>
            <w:noWrap/>
            <w:vAlign w:val="center"/>
          </w:tcPr>
          <w:p>
            <w:pPr>
              <w:jc w:val="left"/>
              <w:rPr>
                <w:rFonts w:ascii="宋体" w:hAnsi="宋体" w:cs="宋体"/>
                <w:color w:val="000000"/>
                <w:sz w:val="22"/>
                <w:szCs w:val="22"/>
              </w:rPr>
            </w:pP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其中：互联网企业累计投资</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亿元</w:t>
            </w:r>
          </w:p>
        </w:tc>
        <w:tc>
          <w:tcPr>
            <w:tcW w:w="824"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120</w:t>
            </w:r>
          </w:p>
        </w:tc>
        <w:tc>
          <w:tcPr>
            <w:tcW w:w="975"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auto"/>
                <w:sz w:val="22"/>
                <w:szCs w:val="22"/>
              </w:rPr>
            </w:pPr>
            <w:r>
              <w:rPr>
                <w:rFonts w:hint="eastAsia" w:ascii="宋体" w:hAnsi="宋体" w:eastAsia="宋体" w:cs="宋体"/>
                <w:i w:val="0"/>
                <w:iCs w:val="0"/>
                <w:color w:val="auto"/>
                <w:kern w:val="0"/>
                <w:sz w:val="22"/>
                <w:szCs w:val="22"/>
                <w:u w:val="none"/>
                <w:lang w:val="en-US" w:eastAsia="zh-CN" w:bidi="ar"/>
              </w:rPr>
              <w:t>150</w:t>
            </w:r>
          </w:p>
        </w:tc>
        <w:tc>
          <w:tcPr>
            <w:tcW w:w="972"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电信业务总量（2020年不变单价）</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亿元</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570</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2200</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414" w:type="pct"/>
            <w:vMerge w:val="restart"/>
            <w:tcBorders>
              <w:tl2br w:val="nil"/>
              <w:tr2bl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基础设施</w:t>
            </w: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5G基站数</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万个</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10G-PON端口数</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万个</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975" w:type="dxa"/>
            <w:tcBorders>
              <w:tl2br w:val="nil"/>
              <w:tr2bl w:val="nil"/>
            </w:tcBorders>
            <w:shd w:val="clear" w:color="auto" w:fill="auto"/>
            <w:noWrap/>
            <w:vAlign w:val="center"/>
          </w:tcPr>
          <w:p>
            <w:pPr>
              <w:keepNext w:val="0"/>
              <w:keepLines w:val="0"/>
              <w:widowControl/>
              <w:suppressLineNumbers w:val="0"/>
              <w:jc w:val="both"/>
              <w:textAlignment w:val="center"/>
              <w:rPr>
                <w:rFonts w:hint="default" w:ascii="宋体" w:hAnsi="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20</w:t>
            </w:r>
          </w:p>
        </w:tc>
        <w:tc>
          <w:tcPr>
            <w:tcW w:w="972"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省际出口带宽</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T</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975"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972"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移动网络IPv6流量占比</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975"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75</w:t>
            </w:r>
          </w:p>
        </w:tc>
        <w:tc>
          <w:tcPr>
            <w:tcW w:w="972" w:type="dxa"/>
            <w:tcBorders>
              <w:tl2br w:val="nil"/>
              <w:tr2bl w:val="nil"/>
            </w:tcBorders>
            <w:shd w:val="clear" w:color="auto" w:fill="auto"/>
            <w:noWrap/>
            <w:vAlign w:val="center"/>
          </w:tcPr>
          <w:p>
            <w:pPr>
              <w:keepNext w:val="0"/>
              <w:keepLines w:val="0"/>
              <w:widowControl/>
              <w:suppressLineNumbers w:val="0"/>
              <w:jc w:val="both"/>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14" w:type="pct"/>
            <w:vMerge w:val="restart"/>
            <w:tcBorders>
              <w:tl2br w:val="nil"/>
              <w:tr2bl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绿色节能</w:t>
            </w: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217" w:type="pct"/>
            <w:tcBorders>
              <w:tl2br w:val="nil"/>
              <w:tr2bl w:val="nil"/>
            </w:tcBorders>
            <w:shd w:val="clear" w:color="auto" w:fill="auto"/>
            <w:noWrap/>
            <w:vAlign w:val="center"/>
          </w:tcPr>
          <w:p>
            <w:pPr>
              <w:widowControl/>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在运营数据中心</w:t>
            </w:r>
            <w:r>
              <w:rPr>
                <w:rFonts w:hint="eastAsia" w:ascii="宋体" w:hAnsi="宋体" w:cs="宋体"/>
                <w:color w:val="000000"/>
                <w:kern w:val="0"/>
                <w:sz w:val="22"/>
                <w:szCs w:val="22"/>
                <w:lang w:val="en-US" w:eastAsia="zh-CN" w:bidi="ar"/>
              </w:rPr>
              <w:t>PUE值</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1.79</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55</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新建大型和超大型数据中心PUE值</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力争小于1.35</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单位电信业务总量综合能耗下降幅度</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4" w:type="pct"/>
            <w:vMerge w:val="restart"/>
            <w:tcBorders>
              <w:tl2br w:val="nil"/>
              <w:tr2bl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应用普及</w:t>
            </w: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5G用户</w:t>
            </w:r>
            <w:r>
              <w:rPr>
                <w:rFonts w:hint="eastAsia" w:ascii="宋体" w:hAnsi="宋体" w:cs="宋体"/>
                <w:color w:val="000000"/>
                <w:kern w:val="0"/>
                <w:sz w:val="22"/>
                <w:szCs w:val="22"/>
                <w:lang w:eastAsia="zh-CN" w:bidi="ar"/>
              </w:rPr>
              <w:t>普及率</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5</w:t>
            </w:r>
            <w:r>
              <w:rPr>
                <w:rFonts w:hint="eastAsia" w:ascii="宋体" w:hAnsi="宋体" w:cs="宋体"/>
                <w:color w:val="000000"/>
                <w:kern w:val="0"/>
                <w:sz w:val="22"/>
                <w:szCs w:val="22"/>
                <w:lang w:val="en-US" w:eastAsia="zh-CN" w:bidi="ar"/>
              </w:rPr>
              <w:t>6</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20.5</w:t>
            </w:r>
            <w:r>
              <w:rPr>
                <w:rFonts w:hint="eastAsia" w:ascii="宋体" w:hAnsi="宋体" w:cs="宋体"/>
                <w:color w:val="000000"/>
                <w:kern w:val="0"/>
                <w:sz w:val="22"/>
                <w:szCs w:val="2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千兆宽带家庭普及率</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vMerge w:val="restart"/>
            <w:tcBorders>
              <w:tl2br w:val="nil"/>
              <w:tr2bl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用户月均移动数据流量</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GB</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vMerge w:val="continue"/>
            <w:tcBorders>
              <w:tl2br w:val="nil"/>
              <w:tr2bl w:val="nil"/>
            </w:tcBorders>
            <w:shd w:val="clear" w:color="auto" w:fill="auto"/>
            <w:noWrap/>
            <w:vAlign w:val="center"/>
          </w:tcPr>
          <w:p>
            <w:pPr>
              <w:jc w:val="left"/>
              <w:rPr>
                <w:rFonts w:ascii="宋体" w:hAnsi="宋体" w:cs="宋体"/>
                <w:color w:val="000000"/>
                <w:sz w:val="22"/>
                <w:szCs w:val="22"/>
              </w:rPr>
            </w:pP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其中:5G用户月均移动数据流量</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GB</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移动物联网终端用户</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万户</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2171</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4000</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工业互联网标识注册量</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亿个</w:t>
            </w:r>
          </w:p>
        </w:tc>
        <w:tc>
          <w:tcPr>
            <w:tcW w:w="483" w:type="pct"/>
            <w:tcBorders>
              <w:tl2br w:val="nil"/>
              <w:tr2bl w:val="nil"/>
            </w:tcBorders>
            <w:shd w:val="clear" w:color="auto" w:fill="FFFFFF"/>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0.3</w:t>
            </w:r>
          </w:p>
        </w:tc>
        <w:tc>
          <w:tcPr>
            <w:tcW w:w="572" w:type="pct"/>
            <w:tcBorders>
              <w:tl2br w:val="nil"/>
              <w:tr2bl w:val="nil"/>
            </w:tcBorders>
            <w:shd w:val="clear" w:color="auto" w:fill="FFFFFF"/>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5G虚拟专网数</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483" w:type="pct"/>
            <w:tcBorders>
              <w:tl2br w:val="nil"/>
              <w:tr2bl w:val="nil"/>
            </w:tcBorders>
            <w:shd w:val="clear" w:color="auto" w:fill="FFFFFF"/>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572" w:type="pct"/>
            <w:tcBorders>
              <w:tl2br w:val="nil"/>
              <w:tr2bl w:val="nil"/>
            </w:tcBorders>
            <w:shd w:val="clear" w:color="auto" w:fill="FFFFFF"/>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414" w:type="pct"/>
            <w:vMerge w:val="restart"/>
            <w:tcBorders>
              <w:tl2br w:val="nil"/>
              <w:tr2bl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普惠共享</w:t>
            </w: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行政村5G无线网络覆盖率</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行政村千兆光纤网络通达率</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572"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14" w:type="pct"/>
            <w:vMerge w:val="continue"/>
            <w:tcBorders>
              <w:tl2br w:val="nil"/>
              <w:tr2bl w:val="nil"/>
            </w:tcBorders>
            <w:shd w:val="clear" w:color="auto" w:fill="auto"/>
            <w:vAlign w:val="center"/>
          </w:tcPr>
          <w:p>
            <w:pPr>
              <w:jc w:val="center"/>
              <w:rPr>
                <w:rFonts w:ascii="宋体" w:hAnsi="宋体" w:cs="宋体"/>
                <w:color w:val="000000"/>
                <w:sz w:val="22"/>
                <w:szCs w:val="22"/>
              </w:rPr>
            </w:pPr>
          </w:p>
        </w:tc>
        <w:tc>
          <w:tcPr>
            <w:tcW w:w="2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21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电信用户综合满意指数</w:t>
            </w:r>
          </w:p>
        </w:tc>
        <w:tc>
          <w:tcPr>
            <w:tcW w:w="457"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483"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72" w:type="pct"/>
            <w:tcBorders>
              <w:tl2br w:val="nil"/>
              <w:tr2bl w:val="nil"/>
            </w:tcBorders>
            <w:shd w:val="clear" w:color="auto" w:fill="auto"/>
            <w:noWrap/>
            <w:vAlign w:val="center"/>
          </w:tcPr>
          <w:p>
            <w:pPr>
              <w:widowControl/>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bidi="ar"/>
              </w:rPr>
              <w:t>高于全国平均水平</w:t>
            </w:r>
          </w:p>
        </w:tc>
        <w:tc>
          <w:tcPr>
            <w:tcW w:w="570" w:type="pct"/>
            <w:tcBorders>
              <w:tl2br w:val="nil"/>
              <w:tr2bl w:val="nil"/>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autoSpaceDE w:val="0"/>
        <w:autoSpaceDN w:val="0"/>
        <w:adjustRightInd w:val="0"/>
        <w:spacing w:line="360" w:lineRule="auto"/>
        <w:ind w:firstLine="442" w:firstLineChars="200"/>
        <w:rPr>
          <w:rFonts w:ascii="黑体" w:hAnsi="黑体" w:eastAsia="黑体" w:cs="仿宋"/>
          <w:b/>
          <w:sz w:val="32"/>
          <w:szCs w:val="32"/>
        </w:rPr>
      </w:pPr>
      <w:r>
        <w:rPr>
          <w:rFonts w:hint="eastAsia" w:ascii="仿宋" w:hAnsi="仿宋" w:eastAsia="仿宋_GB2312" w:cs="仿宋"/>
          <w:b/>
          <w:bCs/>
          <w:sz w:val="22"/>
          <w:szCs w:val="22"/>
        </w:rPr>
        <w:t>注：[ ]内数值为5年累计变化数</w:t>
      </w:r>
      <w:bookmarkEnd w:id="36"/>
      <w:bookmarkStart w:id="67" w:name="_Toc29593"/>
      <w:bookmarkStart w:id="68" w:name="_Toc21354"/>
      <w:bookmarkStart w:id="69" w:name="_Toc8695"/>
    </w:p>
    <w:bookmarkEnd w:id="67"/>
    <w:bookmarkEnd w:id="68"/>
    <w:bookmarkEnd w:id="69"/>
    <w:p>
      <w:pPr>
        <w:spacing w:before="0" w:after="0" w:line="240" w:lineRule="auto"/>
        <w:ind w:firstLine="0" w:firstLineChars="0"/>
        <w:jc w:val="left"/>
        <w:outlineLvl w:val="9"/>
        <w:rPr>
          <w:rFonts w:hint="eastAsia" w:ascii="黑体" w:hAnsi="黑体" w:eastAsia="黑体" w:cs="仿宋"/>
          <w:b/>
          <w:sz w:val="32"/>
          <w:szCs w:val="32"/>
        </w:rPr>
      </w:pPr>
      <w:bookmarkStart w:id="70" w:name="_Toc20988"/>
      <w:bookmarkStart w:id="71" w:name="_Toc31131"/>
      <w:bookmarkStart w:id="72" w:name="_Toc24313"/>
      <w:bookmarkStart w:id="73" w:name="_Toc28911"/>
      <w:r>
        <w:rPr>
          <w:rFonts w:hint="eastAsia" w:ascii="黑体" w:hAnsi="黑体" w:eastAsia="黑体" w:cs="仿宋"/>
          <w:b/>
          <w:sz w:val="32"/>
          <w:szCs w:val="32"/>
        </w:rPr>
        <w:br w:type="page"/>
      </w:r>
    </w:p>
    <w:p>
      <w:pPr>
        <w:tabs>
          <w:tab w:val="left" w:pos="720"/>
        </w:tabs>
        <w:spacing w:before="200" w:after="300" w:line="360" w:lineRule="auto"/>
        <w:ind w:firstLine="643" w:firstLineChars="200"/>
        <w:jc w:val="left"/>
        <w:outlineLvl w:val="0"/>
        <w:rPr>
          <w:rFonts w:ascii="黑体" w:hAnsi="黑体" w:eastAsia="黑体" w:cs="仿宋"/>
          <w:b/>
          <w:sz w:val="32"/>
          <w:szCs w:val="32"/>
        </w:rPr>
      </w:pPr>
      <w:bookmarkStart w:id="74" w:name="_Toc15954"/>
      <w:r>
        <w:rPr>
          <w:rFonts w:hint="eastAsia" w:ascii="黑体" w:hAnsi="黑体" w:eastAsia="黑体" w:cs="仿宋"/>
          <w:b/>
          <w:sz w:val="32"/>
          <w:szCs w:val="32"/>
        </w:rPr>
        <w:t>三、主要任务与重点工程</w:t>
      </w:r>
      <w:bookmarkEnd w:id="70"/>
      <w:bookmarkEnd w:id="71"/>
      <w:bookmarkEnd w:id="72"/>
      <w:bookmarkEnd w:id="74"/>
    </w:p>
    <w:p>
      <w:pPr>
        <w:spacing w:line="360" w:lineRule="auto"/>
        <w:ind w:firstLine="643" w:firstLineChars="200"/>
        <w:outlineLvl w:val="1"/>
        <w:rPr>
          <w:rFonts w:ascii="楷体" w:hAnsi="楷体" w:eastAsia="楷体" w:cs="楷体"/>
          <w:b/>
          <w:bCs/>
          <w:sz w:val="32"/>
          <w:szCs w:val="32"/>
        </w:rPr>
      </w:pPr>
      <w:bookmarkStart w:id="75" w:name="_Toc9792"/>
      <w:bookmarkStart w:id="76" w:name="_Toc15391"/>
      <w:bookmarkStart w:id="77" w:name="_Toc13495"/>
      <w:bookmarkStart w:id="78" w:name="_Toc17551"/>
      <w:r>
        <w:rPr>
          <w:rFonts w:hint="eastAsia" w:ascii="楷体" w:hAnsi="楷体" w:eastAsia="楷体" w:cs="楷体"/>
          <w:b/>
          <w:bCs/>
          <w:sz w:val="32"/>
          <w:szCs w:val="32"/>
        </w:rPr>
        <w:t>（一）建设新型信息</w:t>
      </w:r>
      <w:r>
        <w:rPr>
          <w:rFonts w:hint="eastAsia" w:ascii="楷体" w:hAnsi="楷体" w:eastAsia="楷体" w:cs="楷体"/>
          <w:b/>
          <w:bCs/>
          <w:sz w:val="32"/>
          <w:szCs w:val="32"/>
          <w:lang w:eastAsia="zh-CN"/>
        </w:rPr>
        <w:t>通信</w:t>
      </w:r>
      <w:r>
        <w:rPr>
          <w:rFonts w:hint="eastAsia" w:ascii="楷体" w:hAnsi="楷体" w:eastAsia="楷体" w:cs="楷体"/>
          <w:b/>
          <w:bCs/>
          <w:sz w:val="32"/>
          <w:szCs w:val="32"/>
        </w:rPr>
        <w:t>基础设施</w:t>
      </w:r>
      <w:bookmarkEnd w:id="75"/>
      <w:bookmarkEnd w:id="76"/>
      <w:bookmarkEnd w:id="77"/>
      <w:bookmarkEnd w:id="78"/>
    </w:p>
    <w:p>
      <w:pPr>
        <w:spacing w:line="360" w:lineRule="auto"/>
        <w:ind w:firstLine="640" w:firstLineChars="200"/>
        <w:rPr>
          <w:rFonts w:ascii="仿宋" w:hAnsi="仿宋" w:eastAsia="仿宋_GB2312" w:cs="仿宋"/>
          <w:iCs/>
          <w:sz w:val="32"/>
          <w:szCs w:val="32"/>
        </w:rPr>
      </w:pPr>
      <w:r>
        <w:rPr>
          <w:rFonts w:hint="eastAsia" w:ascii="仿宋" w:hAnsi="仿宋" w:eastAsia="仿宋_GB2312" w:cs="仿宋"/>
          <w:iCs/>
          <w:sz w:val="32"/>
          <w:szCs w:val="32"/>
        </w:rPr>
        <w:t>全面建设高水平“双千兆”网络，持续发展智能计算基础设施，积极发展融合基础设施，全面提升信息通信服务供给能力，构建</w:t>
      </w:r>
      <w:r>
        <w:rPr>
          <w:rFonts w:hint="eastAsia" w:ascii="仿宋" w:hAnsi="仿宋" w:eastAsia="仿宋_GB2312" w:cs="仿宋"/>
          <w:sz w:val="32"/>
          <w:szCs w:val="32"/>
        </w:rPr>
        <w:t>“高速、智能、协同、安全、绿色”</w:t>
      </w:r>
      <w:r>
        <w:rPr>
          <w:rFonts w:hint="eastAsia" w:ascii="仿宋" w:hAnsi="仿宋" w:eastAsia="仿宋_GB2312" w:cs="仿宋"/>
          <w:iCs/>
          <w:sz w:val="32"/>
          <w:szCs w:val="32"/>
        </w:rPr>
        <w:t>的新型信息</w:t>
      </w:r>
      <w:r>
        <w:rPr>
          <w:rFonts w:hint="eastAsia" w:ascii="仿宋" w:hAnsi="仿宋" w:eastAsia="仿宋_GB2312" w:cs="仿宋"/>
          <w:iCs/>
          <w:sz w:val="32"/>
          <w:szCs w:val="32"/>
          <w:lang w:eastAsia="zh-CN"/>
        </w:rPr>
        <w:t>通信</w:t>
      </w:r>
      <w:r>
        <w:rPr>
          <w:rFonts w:hint="eastAsia" w:ascii="仿宋" w:hAnsi="仿宋" w:eastAsia="仿宋_GB2312" w:cs="仿宋"/>
          <w:iCs/>
          <w:sz w:val="32"/>
          <w:szCs w:val="32"/>
        </w:rPr>
        <w:t>基础设施体系。</w:t>
      </w:r>
    </w:p>
    <w:p>
      <w:pPr>
        <w:spacing w:line="360" w:lineRule="auto"/>
        <w:ind w:firstLine="643" w:firstLineChars="200"/>
        <w:outlineLvl w:val="2"/>
        <w:rPr>
          <w:rFonts w:ascii="仿宋" w:hAnsi="仿宋" w:eastAsia="仿宋_GB2312" w:cs="仿宋"/>
          <w:b/>
          <w:bCs/>
          <w:sz w:val="32"/>
          <w:szCs w:val="32"/>
        </w:rPr>
      </w:pPr>
      <w:r>
        <w:rPr>
          <w:rFonts w:hint="eastAsia" w:ascii="仿宋" w:hAnsi="仿宋" w:eastAsia="仿宋_GB2312" w:cs="仿宋"/>
          <w:b/>
          <w:bCs/>
          <w:sz w:val="32"/>
          <w:szCs w:val="32"/>
        </w:rPr>
        <w:t>1.全面升级新一代</w:t>
      </w:r>
      <w:r>
        <w:rPr>
          <w:rFonts w:hint="eastAsia" w:ascii="仿宋" w:hAnsi="仿宋" w:eastAsia="仿宋_GB2312" w:cs="仿宋"/>
          <w:b/>
          <w:bCs/>
          <w:sz w:val="32"/>
          <w:szCs w:val="32"/>
          <w:lang w:eastAsia="zh-CN"/>
        </w:rPr>
        <w:t>信息</w:t>
      </w:r>
      <w:r>
        <w:rPr>
          <w:rFonts w:hint="eastAsia" w:ascii="仿宋" w:hAnsi="仿宋" w:eastAsia="仿宋_GB2312" w:cs="仿宋"/>
          <w:b/>
          <w:bCs/>
          <w:sz w:val="32"/>
          <w:szCs w:val="32"/>
        </w:rPr>
        <w:t>通信网络基础设施</w:t>
      </w:r>
    </w:p>
    <w:p>
      <w:pPr>
        <w:spacing w:line="360" w:lineRule="auto"/>
        <w:ind w:firstLine="643" w:firstLineChars="200"/>
        <w:rPr>
          <w:rFonts w:ascii="仿宋" w:hAnsi="仿宋" w:eastAsia="仿宋_GB2312" w:cs="仿宋"/>
          <w:iCs/>
          <w:color w:val="000000" w:themeColor="text1"/>
          <w:sz w:val="32"/>
          <w:szCs w:val="32"/>
          <w14:textFill>
            <w14:solidFill>
              <w14:schemeClr w14:val="tx1"/>
            </w14:solidFill>
          </w14:textFill>
        </w:rPr>
      </w:pPr>
      <w:r>
        <w:rPr>
          <w:rFonts w:hint="eastAsia" w:ascii="仿宋" w:hAnsi="仿宋" w:eastAsia="仿宋_GB2312" w:cs="仿宋"/>
          <w:b/>
          <w:bCs/>
          <w:sz w:val="32"/>
          <w:szCs w:val="32"/>
        </w:rPr>
        <w:t>全面推进5</w:t>
      </w:r>
      <w:r>
        <w:rPr>
          <w:rFonts w:ascii="仿宋" w:hAnsi="仿宋" w:eastAsia="仿宋_GB2312" w:cs="仿宋"/>
          <w:b/>
          <w:bCs/>
          <w:sz w:val="32"/>
          <w:szCs w:val="32"/>
        </w:rPr>
        <w:t>G</w:t>
      </w:r>
      <w:r>
        <w:rPr>
          <w:rFonts w:hint="eastAsia" w:ascii="仿宋" w:hAnsi="仿宋" w:eastAsia="仿宋_GB2312" w:cs="仿宋"/>
          <w:b/>
          <w:bCs/>
          <w:sz w:val="32"/>
          <w:szCs w:val="32"/>
        </w:rPr>
        <w:t>规模部署。</w:t>
      </w:r>
      <w:r>
        <w:rPr>
          <w:rFonts w:hint="eastAsia" w:ascii="仿宋" w:hAnsi="仿宋" w:eastAsia="仿宋_GB2312" w:cs="仿宋"/>
          <w:iCs/>
          <w:sz w:val="32"/>
          <w:szCs w:val="32"/>
        </w:rPr>
        <w:t>加快推进5G独立组网规模化部署，</w:t>
      </w:r>
      <w:r>
        <w:rPr>
          <w:rFonts w:hint="eastAsia" w:ascii="仿宋" w:hAnsi="仿宋" w:eastAsia="仿宋_GB2312" w:cs="仿宋"/>
          <w:iCs/>
          <w:sz w:val="32"/>
          <w:szCs w:val="32"/>
          <w:lang w:eastAsia="zh-CN"/>
        </w:rPr>
        <w:t>加强</w:t>
      </w:r>
      <w:r>
        <w:rPr>
          <w:rFonts w:hint="eastAsia" w:ascii="仿宋" w:hAnsi="仿宋" w:eastAsia="仿宋_GB2312" w:cs="仿宋"/>
          <w:iCs/>
          <w:sz w:val="32"/>
          <w:szCs w:val="32"/>
        </w:rPr>
        <w:t>5</w:t>
      </w:r>
      <w:r>
        <w:rPr>
          <w:rFonts w:ascii="仿宋" w:hAnsi="仿宋" w:eastAsia="仿宋_GB2312" w:cs="仿宋"/>
          <w:iCs/>
          <w:sz w:val="32"/>
          <w:szCs w:val="32"/>
        </w:rPr>
        <w:t>G</w:t>
      </w:r>
      <w:r>
        <w:rPr>
          <w:rFonts w:hint="eastAsia" w:ascii="仿宋" w:hAnsi="仿宋" w:eastAsia="仿宋_GB2312" w:cs="仿宋"/>
          <w:iCs/>
          <w:sz w:val="32"/>
          <w:szCs w:val="32"/>
        </w:rPr>
        <w:t>核心网和承载网建设</w:t>
      </w:r>
      <w:r>
        <w:rPr>
          <w:rFonts w:hint="eastAsia" w:ascii="仿宋" w:hAnsi="仿宋" w:eastAsia="仿宋_GB2312" w:cs="仿宋"/>
          <w:iCs/>
          <w:sz w:val="32"/>
          <w:szCs w:val="32"/>
          <w:lang w:eastAsia="zh-CN"/>
        </w:rPr>
        <w:t>，全面提升</w:t>
      </w:r>
      <w:r>
        <w:rPr>
          <w:rFonts w:hint="eastAsia" w:ascii="仿宋" w:hAnsi="仿宋" w:eastAsia="仿宋_GB2312" w:cs="仿宋"/>
          <w:iCs/>
          <w:sz w:val="32"/>
          <w:szCs w:val="32"/>
          <w:lang w:val="en-US" w:eastAsia="zh-CN"/>
        </w:rPr>
        <w:t>5G网络承载能力，</w:t>
      </w:r>
      <w:r>
        <w:rPr>
          <w:rFonts w:hint="eastAsia" w:ascii="仿宋" w:hAnsi="仿宋" w:eastAsia="仿宋_GB2312" w:cs="仿宋"/>
          <w:iCs/>
          <w:sz w:val="32"/>
          <w:szCs w:val="32"/>
          <w:lang w:eastAsia="zh-CN"/>
        </w:rPr>
        <w:t>开展低、中、高频</w:t>
      </w:r>
      <w:r>
        <w:rPr>
          <w:rFonts w:hint="eastAsia" w:ascii="仿宋" w:hAnsi="仿宋" w:eastAsia="仿宋_GB2312" w:cs="仿宋"/>
          <w:iCs/>
          <w:sz w:val="32"/>
          <w:szCs w:val="32"/>
          <w:lang w:val="en-US" w:eastAsia="zh-CN"/>
        </w:rPr>
        <w:t>5G建设，</w:t>
      </w:r>
      <w:r>
        <w:rPr>
          <w:rFonts w:hint="eastAsia" w:ascii="仿宋" w:hAnsi="仿宋" w:eastAsia="仿宋_GB2312" w:cs="仿宋"/>
          <w:iCs/>
          <w:sz w:val="32"/>
          <w:szCs w:val="32"/>
        </w:rPr>
        <w:t>构建多频协同发展的5</w:t>
      </w:r>
      <w:r>
        <w:rPr>
          <w:rFonts w:ascii="仿宋" w:hAnsi="仿宋" w:eastAsia="仿宋_GB2312" w:cs="仿宋"/>
          <w:iCs/>
          <w:sz w:val="32"/>
          <w:szCs w:val="32"/>
        </w:rPr>
        <w:t>G</w:t>
      </w:r>
      <w:r>
        <w:rPr>
          <w:rFonts w:hint="eastAsia" w:ascii="仿宋" w:hAnsi="仿宋" w:eastAsia="仿宋_GB2312" w:cs="仿宋"/>
          <w:iCs/>
          <w:sz w:val="32"/>
          <w:szCs w:val="32"/>
        </w:rPr>
        <w:t>网络体系。按需有序扩大5G建站规模，加速</w:t>
      </w:r>
      <w:r>
        <w:rPr>
          <w:rFonts w:hint="eastAsia" w:ascii="仿宋" w:hAnsi="仿宋" w:eastAsia="仿宋_GB2312" w:cs="仿宋"/>
          <w:iCs/>
          <w:sz w:val="32"/>
          <w:szCs w:val="32"/>
          <w:lang w:eastAsia="zh-CN"/>
        </w:rPr>
        <w:t>扩大</w:t>
      </w:r>
      <w:r>
        <w:rPr>
          <w:rFonts w:hint="eastAsia" w:ascii="仿宋" w:hAnsi="仿宋" w:eastAsia="仿宋_GB2312" w:cs="仿宋"/>
          <w:iCs/>
          <w:sz w:val="32"/>
          <w:szCs w:val="32"/>
        </w:rPr>
        <w:t>5G从城市到农村的覆盖广度，持续完善5G覆盖深度，构建高速泛在的5G精品网络</w:t>
      </w:r>
      <w:r>
        <w:rPr>
          <w:rFonts w:hint="eastAsia" w:ascii="仿宋" w:hAnsi="仿宋" w:eastAsia="仿宋_GB2312" w:cs="仿宋"/>
          <w:iCs/>
          <w:color w:val="000000" w:themeColor="text1"/>
          <w:sz w:val="32"/>
          <w:szCs w:val="32"/>
          <w14:textFill>
            <w14:solidFill>
              <w14:schemeClr w14:val="tx1"/>
            </w14:solidFill>
          </w14:textFill>
        </w:rPr>
        <w:t>。</w:t>
      </w:r>
    </w:p>
    <w:p>
      <w:p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加快建设千兆光纤网络</w:t>
      </w:r>
      <w:r>
        <w:rPr>
          <w:rFonts w:hint="eastAsia" w:ascii="仿宋" w:hAnsi="仿宋" w:eastAsia="仿宋_GB2312" w:cs="仿宋"/>
          <w:sz w:val="32"/>
          <w:szCs w:val="32"/>
        </w:rPr>
        <w:t>。立足光接入网络覆盖基础优势，加快推进城市及重点区域1</w:t>
      </w:r>
      <w:r>
        <w:rPr>
          <w:rFonts w:ascii="仿宋" w:hAnsi="仿宋" w:eastAsia="仿宋_GB2312" w:cs="仿宋"/>
          <w:sz w:val="32"/>
          <w:szCs w:val="32"/>
        </w:rPr>
        <w:t xml:space="preserve">0G </w:t>
      </w:r>
      <w:r>
        <w:rPr>
          <w:rFonts w:hint="eastAsia" w:ascii="仿宋" w:hAnsi="仿宋" w:eastAsia="仿宋_GB2312" w:cs="仿宋"/>
          <w:sz w:val="32"/>
          <w:szCs w:val="32"/>
        </w:rPr>
        <w:t>PON设备规模部署，持续扩大千兆光纤网络覆盖范围，全面提升高速光网络能力，加速迈入光联万物的新时代。协同各部门推进建筑物、交通设施等场景</w:t>
      </w:r>
      <w:r>
        <w:rPr>
          <w:rFonts w:hint="eastAsia" w:ascii="仿宋" w:hAnsi="仿宋" w:eastAsia="仿宋_GB2312" w:cs="仿宋"/>
          <w:sz w:val="32"/>
          <w:szCs w:val="32"/>
          <w:lang w:eastAsia="zh-CN"/>
        </w:rPr>
        <w:t>信息通信</w:t>
      </w:r>
      <w:r>
        <w:rPr>
          <w:rFonts w:hint="eastAsia" w:ascii="仿宋" w:hAnsi="仿宋" w:eastAsia="仿宋_GB2312" w:cs="仿宋"/>
          <w:sz w:val="32"/>
          <w:szCs w:val="32"/>
        </w:rPr>
        <w:t>配套基础设施建设和资源预留，实现</w:t>
      </w:r>
      <w:r>
        <w:rPr>
          <w:rFonts w:hint="eastAsia" w:ascii="仿宋" w:hAnsi="仿宋" w:eastAsia="仿宋_GB2312" w:cs="仿宋"/>
          <w:sz w:val="32"/>
          <w:szCs w:val="32"/>
          <w:lang w:eastAsia="zh-CN"/>
        </w:rPr>
        <w:t>信息通信</w:t>
      </w:r>
      <w:r>
        <w:rPr>
          <w:rFonts w:hint="eastAsia" w:ascii="仿宋" w:hAnsi="仿宋" w:eastAsia="仿宋_GB2312" w:cs="仿宋"/>
          <w:sz w:val="32"/>
          <w:szCs w:val="32"/>
        </w:rPr>
        <w:t>配套</w:t>
      </w:r>
      <w:r>
        <w:rPr>
          <w:rFonts w:hint="eastAsia" w:ascii="仿宋" w:hAnsi="仿宋" w:eastAsia="仿宋_GB2312" w:cs="仿宋"/>
          <w:sz w:val="32"/>
          <w:szCs w:val="32"/>
          <w:lang w:eastAsia="zh-CN"/>
        </w:rPr>
        <w:t>基础</w:t>
      </w:r>
      <w:r>
        <w:rPr>
          <w:rFonts w:hint="eastAsia" w:ascii="仿宋" w:hAnsi="仿宋" w:eastAsia="仿宋_GB2312" w:cs="仿宋"/>
          <w:sz w:val="32"/>
          <w:szCs w:val="32"/>
        </w:rPr>
        <w:t>设施与主体工程“同步规划、同步设计、同步实施、同步验收”。鼓励提升工业园区、住宅小区、交通路网、地下空间、电梯内等区域的网络设施和智能设施同步建设和升级改造。</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17" w:type="dxa"/>
            <w:vAlign w:val="center"/>
          </w:tcPr>
          <w:p>
            <w:pPr>
              <w:ind w:firstLine="562" w:firstLineChars="200"/>
              <w:jc w:val="center"/>
              <w:rPr>
                <w:rFonts w:ascii="楷体" w:hAnsi="楷体" w:eastAsia="楷体" w:cs="楷体"/>
                <w:b/>
                <w:bCs/>
                <w:sz w:val="28"/>
                <w:szCs w:val="28"/>
              </w:rPr>
            </w:pPr>
            <w:r>
              <w:rPr>
                <w:rFonts w:hint="eastAsia" w:ascii="楷体" w:hAnsi="楷体" w:eastAsia="楷体" w:cs="楷体"/>
                <w:b/>
                <w:bCs/>
                <w:sz w:val="28"/>
                <w:szCs w:val="28"/>
              </w:rPr>
              <w:t>重点工程1：双千兆城市建设工程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pPr>
              <w:ind w:firstLine="562" w:firstLineChars="200"/>
              <w:rPr>
                <w:rFonts w:ascii="楷体" w:hAnsi="楷体" w:eastAsia="楷体" w:cs="楷体"/>
                <w:sz w:val="28"/>
                <w:szCs w:val="28"/>
              </w:rPr>
            </w:pPr>
            <w:r>
              <w:rPr>
                <w:rFonts w:hint="eastAsia" w:ascii="楷体" w:hAnsi="楷体" w:eastAsia="楷体" w:cs="楷体"/>
                <w:b/>
                <w:sz w:val="28"/>
                <w:szCs w:val="28"/>
              </w:rPr>
              <w:t>建设目标：</w:t>
            </w:r>
            <w:r>
              <w:rPr>
                <w:rFonts w:hint="eastAsia" w:ascii="楷体" w:hAnsi="楷体" w:eastAsia="楷体" w:cs="楷体"/>
                <w:sz w:val="28"/>
                <w:szCs w:val="28"/>
              </w:rPr>
              <w:t>2025年底，全省累计建成各类5</w:t>
            </w:r>
            <w:r>
              <w:rPr>
                <w:rFonts w:ascii="楷体" w:hAnsi="楷体" w:eastAsia="楷体" w:cs="楷体"/>
                <w:sz w:val="28"/>
                <w:szCs w:val="28"/>
              </w:rPr>
              <w:t>G</w:t>
            </w:r>
            <w:r>
              <w:rPr>
                <w:rFonts w:hint="eastAsia" w:ascii="楷体" w:hAnsi="楷体" w:eastAsia="楷体" w:cs="楷体"/>
                <w:sz w:val="28"/>
                <w:szCs w:val="28"/>
              </w:rPr>
              <w:t>基站1</w:t>
            </w:r>
            <w:r>
              <w:rPr>
                <w:rFonts w:ascii="楷体" w:hAnsi="楷体" w:eastAsia="楷体" w:cs="楷体"/>
                <w:sz w:val="28"/>
                <w:szCs w:val="28"/>
              </w:rPr>
              <w:t>5</w:t>
            </w:r>
            <w:r>
              <w:rPr>
                <w:rFonts w:hint="eastAsia" w:ascii="楷体" w:hAnsi="楷体" w:eastAsia="楷体" w:cs="楷体"/>
                <w:sz w:val="28"/>
                <w:szCs w:val="28"/>
              </w:rPr>
              <w:t>万个，基本建成全面覆盖城乡的高速宽带网络，建成10个以上双千兆城市。</w:t>
            </w:r>
          </w:p>
          <w:p>
            <w:pPr>
              <w:ind w:firstLine="562" w:firstLineChars="200"/>
              <w:rPr>
                <w:rFonts w:ascii="楷体" w:hAnsi="楷体" w:eastAsia="楷体" w:cs="楷体"/>
                <w:b/>
                <w:sz w:val="28"/>
                <w:szCs w:val="28"/>
              </w:rPr>
            </w:pPr>
            <w:r>
              <w:rPr>
                <w:rFonts w:hint="eastAsia" w:ascii="楷体" w:hAnsi="楷体" w:eastAsia="楷体" w:cs="楷体"/>
                <w:b/>
                <w:sz w:val="28"/>
                <w:szCs w:val="28"/>
              </w:rPr>
              <w:t>建设内容：</w:t>
            </w:r>
          </w:p>
          <w:p>
            <w:pPr>
              <w:ind w:firstLine="562" w:firstLineChars="200"/>
              <w:rPr>
                <w:rFonts w:ascii="楷体" w:hAnsi="楷体" w:eastAsia="楷体" w:cs="楷体"/>
                <w:sz w:val="28"/>
                <w:szCs w:val="28"/>
              </w:rPr>
            </w:pPr>
            <w:r>
              <w:rPr>
                <w:rFonts w:hint="eastAsia" w:ascii="楷体" w:hAnsi="楷体" w:eastAsia="楷体" w:cs="楷体"/>
                <w:b/>
                <w:sz w:val="28"/>
                <w:szCs w:val="28"/>
              </w:rPr>
              <w:t>1</w:t>
            </w:r>
            <w:r>
              <w:rPr>
                <w:rFonts w:ascii="楷体" w:hAnsi="楷体" w:eastAsia="楷体" w:cs="楷体"/>
                <w:b/>
                <w:sz w:val="28"/>
                <w:szCs w:val="28"/>
              </w:rPr>
              <w:t>.</w:t>
            </w:r>
            <w:r>
              <w:rPr>
                <w:rFonts w:hint="eastAsia" w:ascii="楷体" w:hAnsi="楷体" w:eastAsia="楷体" w:cs="楷体"/>
                <w:b/>
                <w:sz w:val="28"/>
                <w:szCs w:val="28"/>
              </w:rPr>
              <w:t>加快5</w:t>
            </w:r>
            <w:r>
              <w:rPr>
                <w:rFonts w:ascii="楷体" w:hAnsi="楷体" w:eastAsia="楷体" w:cs="楷体"/>
                <w:b/>
                <w:sz w:val="28"/>
                <w:szCs w:val="28"/>
              </w:rPr>
              <w:t>G</w:t>
            </w:r>
            <w:r>
              <w:rPr>
                <w:rFonts w:hint="eastAsia" w:ascii="楷体" w:hAnsi="楷体" w:eastAsia="楷体" w:cs="楷体"/>
                <w:b/>
                <w:sz w:val="28"/>
                <w:szCs w:val="28"/>
              </w:rPr>
              <w:t>网络覆盖</w:t>
            </w:r>
            <w:r>
              <w:rPr>
                <w:rFonts w:hint="eastAsia" w:ascii="楷体" w:hAnsi="楷体" w:eastAsia="楷体" w:cs="楷体"/>
                <w:bCs/>
                <w:sz w:val="28"/>
                <w:szCs w:val="28"/>
              </w:rPr>
              <w:t>。一是不断完善城镇地区室外5</w:t>
            </w:r>
            <w:r>
              <w:rPr>
                <w:rFonts w:ascii="楷体" w:hAnsi="楷体" w:eastAsia="楷体" w:cs="楷体"/>
                <w:bCs/>
                <w:sz w:val="28"/>
                <w:szCs w:val="28"/>
              </w:rPr>
              <w:t>G</w:t>
            </w:r>
            <w:r>
              <w:rPr>
                <w:rFonts w:hint="eastAsia" w:ascii="楷体" w:hAnsi="楷体" w:eastAsia="楷体" w:cs="楷体"/>
                <w:bCs/>
                <w:sz w:val="28"/>
                <w:szCs w:val="28"/>
              </w:rPr>
              <w:t>覆盖</w:t>
            </w:r>
            <w:r>
              <w:rPr>
                <w:rFonts w:hint="eastAsia" w:ascii="楷体" w:hAnsi="楷体" w:eastAsia="楷体" w:cs="楷体"/>
                <w:bCs/>
                <w:sz w:val="28"/>
                <w:szCs w:val="28"/>
                <w:lang w:eastAsia="zh-CN"/>
              </w:rPr>
              <w:t>，</w:t>
            </w:r>
            <w:r>
              <w:rPr>
                <w:rFonts w:hint="eastAsia" w:ascii="楷体" w:hAnsi="楷体" w:eastAsia="楷体" w:cs="楷体"/>
                <w:sz w:val="28"/>
                <w:szCs w:val="28"/>
              </w:rPr>
              <w:t>加快城市建筑物密集区域的5G室内分布系统建设，提供千兆无线网络接入能力</w:t>
            </w:r>
            <w:r>
              <w:rPr>
                <w:rFonts w:hint="eastAsia" w:ascii="楷体" w:hAnsi="楷体" w:eastAsia="楷体" w:cs="楷体"/>
                <w:sz w:val="28"/>
                <w:szCs w:val="28"/>
                <w:lang w:eastAsia="zh-CN"/>
              </w:rPr>
              <w:t>；</w:t>
            </w:r>
            <w:r>
              <w:rPr>
                <w:rFonts w:hint="eastAsia" w:ascii="楷体" w:hAnsi="楷体" w:eastAsia="楷体" w:cs="楷体"/>
                <w:sz w:val="28"/>
                <w:szCs w:val="28"/>
              </w:rPr>
              <w:t>二是精准对接湖南自贸区、各市州工业园区、农业产业园区5</w:t>
            </w:r>
            <w:r>
              <w:rPr>
                <w:rFonts w:ascii="楷体" w:hAnsi="楷体" w:eastAsia="楷体" w:cs="楷体"/>
                <w:sz w:val="28"/>
                <w:szCs w:val="28"/>
              </w:rPr>
              <w:t>G</w:t>
            </w:r>
            <w:r>
              <w:rPr>
                <w:rFonts w:hint="eastAsia" w:ascii="楷体" w:hAnsi="楷体" w:eastAsia="楷体" w:cs="楷体"/>
                <w:sz w:val="28"/>
                <w:szCs w:val="28"/>
              </w:rPr>
              <w:t>覆盖需求，保障传统行业数字化转型</w:t>
            </w:r>
            <w:r>
              <w:rPr>
                <w:rFonts w:hint="eastAsia" w:ascii="楷体" w:hAnsi="楷体" w:eastAsia="楷体" w:cs="楷体"/>
                <w:sz w:val="28"/>
                <w:szCs w:val="28"/>
                <w:lang w:eastAsia="zh-CN"/>
              </w:rPr>
              <w:t>；</w:t>
            </w:r>
            <w:r>
              <w:rPr>
                <w:rFonts w:hint="eastAsia" w:ascii="楷体" w:hAnsi="楷体" w:eastAsia="楷体" w:cs="楷体"/>
                <w:sz w:val="28"/>
                <w:szCs w:val="28"/>
              </w:rPr>
              <w:t>三是加快推进各类旅游景点、港口码头、文博场馆、会展中心、体育馆、医疗场所、校园、交通枢纽及交通要道沿线</w:t>
            </w:r>
            <w:r>
              <w:rPr>
                <w:rFonts w:ascii="楷体" w:hAnsi="楷体" w:eastAsia="楷体" w:cs="楷体"/>
                <w:sz w:val="28"/>
                <w:szCs w:val="28"/>
              </w:rPr>
              <w:t>5G</w:t>
            </w:r>
            <w:r>
              <w:rPr>
                <w:rFonts w:hint="eastAsia" w:ascii="楷体" w:hAnsi="楷体" w:eastAsia="楷体" w:cs="楷体"/>
                <w:sz w:val="28"/>
                <w:szCs w:val="28"/>
              </w:rPr>
              <w:t>覆盖。</w:t>
            </w:r>
          </w:p>
          <w:p>
            <w:pPr>
              <w:ind w:firstLine="562"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sz w:val="28"/>
                <w:szCs w:val="28"/>
              </w:rPr>
              <w:t>2</w:t>
            </w:r>
            <w:r>
              <w:rPr>
                <w:rFonts w:ascii="楷体" w:hAnsi="楷体" w:eastAsia="楷体" w:cs="楷体"/>
                <w:b/>
                <w:bCs/>
                <w:sz w:val="28"/>
                <w:szCs w:val="28"/>
              </w:rPr>
              <w:t>.</w:t>
            </w:r>
            <w:r>
              <w:rPr>
                <w:rFonts w:hint="eastAsia" w:ascii="楷体" w:hAnsi="楷体" w:eastAsia="楷体" w:cs="楷体"/>
                <w:b/>
                <w:bCs/>
                <w:sz w:val="28"/>
                <w:szCs w:val="28"/>
              </w:rPr>
              <w:t>加快千兆光纤网络建设。</w:t>
            </w:r>
            <w:r>
              <w:rPr>
                <w:rFonts w:hint="eastAsia" w:ascii="楷体" w:hAnsi="楷体" w:eastAsia="楷体" w:cs="楷体"/>
                <w:sz w:val="28"/>
                <w:szCs w:val="28"/>
              </w:rPr>
              <w:t>一是全面完成城镇老旧小区光分配网（ODN）改造升级，推动实现全光网络；二是规模化部署10G PON网络设备，完善自贸区、工业园区、住宅小区、商业区、学校和医院的千兆光纤网络覆盖</w:t>
            </w:r>
            <w:r>
              <w:rPr>
                <w:rFonts w:hint="eastAsia" w:ascii="楷体" w:hAnsi="楷体" w:eastAsia="楷体" w:cs="楷体"/>
                <w:sz w:val="28"/>
                <w:szCs w:val="28"/>
                <w:lang w:eastAsia="zh-CN"/>
              </w:rPr>
              <w:t>。</w:t>
            </w:r>
          </w:p>
          <w:p>
            <w:pPr>
              <w:ind w:firstLine="562" w:firstLineChars="200"/>
            </w:pPr>
            <w:r>
              <w:rPr>
                <w:rFonts w:hint="eastAsia" w:ascii="楷体" w:hAnsi="楷体" w:eastAsia="楷体" w:cs="楷体"/>
                <w:b/>
                <w:bCs/>
                <w:sz w:val="28"/>
                <w:szCs w:val="28"/>
              </w:rPr>
              <w:t>3</w:t>
            </w:r>
            <w:r>
              <w:rPr>
                <w:rFonts w:ascii="楷体" w:hAnsi="楷体" w:eastAsia="楷体" w:cs="楷体"/>
                <w:b/>
                <w:bCs/>
                <w:sz w:val="28"/>
                <w:szCs w:val="28"/>
              </w:rPr>
              <w:t>.</w:t>
            </w:r>
            <w:r>
              <w:rPr>
                <w:rFonts w:hint="eastAsia" w:ascii="楷体" w:hAnsi="楷体" w:eastAsia="楷体" w:cs="楷体"/>
                <w:b/>
                <w:bCs/>
                <w:sz w:val="28"/>
                <w:szCs w:val="28"/>
              </w:rPr>
              <w:t>丰富5</w:t>
            </w:r>
            <w:r>
              <w:rPr>
                <w:rFonts w:ascii="楷体" w:hAnsi="楷体" w:eastAsia="楷体" w:cs="楷体"/>
                <w:b/>
                <w:bCs/>
                <w:sz w:val="28"/>
                <w:szCs w:val="28"/>
              </w:rPr>
              <w:t>G</w:t>
            </w:r>
            <w:r>
              <w:rPr>
                <w:rFonts w:hint="eastAsia" w:ascii="楷体" w:hAnsi="楷体" w:eastAsia="楷体" w:cs="楷体"/>
                <w:b/>
                <w:bCs/>
                <w:sz w:val="28"/>
                <w:szCs w:val="28"/>
              </w:rPr>
              <w:t>和千兆光纤应用场景。</w:t>
            </w:r>
            <w:r>
              <w:rPr>
                <w:rFonts w:hint="eastAsia" w:ascii="楷体" w:hAnsi="楷体" w:eastAsia="楷体" w:cs="楷体"/>
                <w:sz w:val="28"/>
                <w:szCs w:val="28"/>
              </w:rPr>
              <w:t>一是结合行业应用需求开展5G虚拟专网建设，深入推进5G赋能千行百业，促进形成“需求牵引供给，供给创造需求”的高水平发展模式，驱动生产方式、生活方式和治理方式升级；二是加快“双千兆”网络在超高清视频、AR/VR等消费领域的业务应用</w:t>
            </w:r>
            <w:r>
              <w:rPr>
                <w:rFonts w:hint="eastAsia" w:ascii="楷体" w:hAnsi="楷体" w:eastAsia="楷体" w:cs="楷体"/>
                <w:sz w:val="28"/>
                <w:szCs w:val="28"/>
                <w:lang w:eastAsia="zh-CN"/>
              </w:rPr>
              <w:t>；三是</w:t>
            </w:r>
            <w:r>
              <w:rPr>
                <w:rFonts w:hint="eastAsia" w:ascii="楷体" w:hAnsi="楷体" w:eastAsia="楷体" w:cs="楷体"/>
                <w:sz w:val="28"/>
                <w:szCs w:val="28"/>
              </w:rPr>
              <w:t>聚焦制造业数字化转型，开展面向不同应用场景和生产流程的“双千兆”协同创新，加快形成“双千兆”优势互补的应用模式。</w:t>
            </w:r>
          </w:p>
        </w:tc>
      </w:tr>
    </w:tbl>
    <w:p>
      <w:pPr>
        <w:spacing w:line="360" w:lineRule="auto"/>
        <w:ind w:firstLine="643" w:firstLineChars="200"/>
        <w:rPr>
          <w:rFonts w:ascii="仿宋" w:hAnsi="仿宋" w:eastAsia="仿宋" w:cs="仿宋"/>
          <w:sz w:val="32"/>
          <w:szCs w:val="32"/>
        </w:rPr>
      </w:pPr>
      <w:r>
        <w:rPr>
          <w:rFonts w:hint="eastAsia" w:ascii="仿宋" w:hAnsi="仿宋" w:eastAsia="仿宋_GB2312" w:cs="仿宋"/>
          <w:b/>
          <w:bCs/>
          <w:sz w:val="32"/>
          <w:szCs w:val="32"/>
        </w:rPr>
        <w:t>优化升级骨干网和城域网</w:t>
      </w:r>
      <w:r>
        <w:rPr>
          <w:rFonts w:hint="eastAsia" w:ascii="仿宋" w:hAnsi="仿宋" w:eastAsia="仿宋_GB2312" w:cs="仿宋"/>
          <w:sz w:val="32"/>
          <w:szCs w:val="32"/>
        </w:rPr>
        <w:t>。加快构建大容量、低时延、高可靠、智能化的骨干传送网络，全面提升网络智能化和综合业务承载能力。争取设立长沙国家级互联网骨干直联点或新型互联网交换中心，提升互联网网络层级</w:t>
      </w:r>
      <w:r>
        <w:rPr>
          <w:rFonts w:hint="eastAsia" w:ascii="仿宋" w:hAnsi="仿宋" w:eastAsia="仿宋_GB2312" w:cs="仿宋"/>
          <w:sz w:val="32"/>
          <w:szCs w:val="32"/>
          <w:lang w:eastAsia="zh-CN"/>
        </w:rPr>
        <w:t>和网间通信质量，形成区域性互联网枢纽</w:t>
      </w:r>
      <w:r>
        <w:rPr>
          <w:rFonts w:hint="eastAsia" w:ascii="仿宋" w:hAnsi="仿宋" w:eastAsia="仿宋_GB2312" w:cs="仿宋"/>
          <w:sz w:val="32"/>
          <w:szCs w:val="32"/>
        </w:rPr>
        <w:t>。保障长沙国际互联网数据专用通道网络的稳定性和访问质量，</w:t>
      </w:r>
      <w:r>
        <w:rPr>
          <w:rFonts w:ascii="仿宋" w:hAnsi="仿宋" w:eastAsia="仿宋_GB2312" w:cs="仿宋"/>
          <w:color w:val="000000" w:themeColor="text1"/>
          <w:sz w:val="32"/>
          <w:szCs w:val="32"/>
          <w14:textFill>
            <w14:solidFill>
              <w14:schemeClr w14:val="tx1"/>
            </w14:solidFill>
          </w14:textFill>
        </w:rPr>
        <w:t>提升</w:t>
      </w:r>
      <w:r>
        <w:rPr>
          <w:rFonts w:hint="eastAsia" w:ascii="仿宋" w:hAnsi="仿宋" w:eastAsia="仿宋_GB2312" w:cs="仿宋"/>
          <w:color w:val="000000" w:themeColor="text1"/>
          <w:sz w:val="32"/>
          <w:szCs w:val="32"/>
          <w14:textFill>
            <w14:solidFill>
              <w14:schemeClr w14:val="tx1"/>
            </w14:solidFill>
          </w14:textFill>
        </w:rPr>
        <w:t>长沙、</w:t>
      </w:r>
      <w:r>
        <w:rPr>
          <w:rFonts w:ascii="仿宋" w:hAnsi="仿宋" w:eastAsia="仿宋_GB2312" w:cs="仿宋"/>
          <w:color w:val="000000" w:themeColor="text1"/>
          <w:sz w:val="32"/>
          <w:szCs w:val="32"/>
          <w14:textFill>
            <w14:solidFill>
              <w14:schemeClr w14:val="tx1"/>
            </w14:solidFill>
          </w14:textFill>
        </w:rPr>
        <w:t>岳阳、郴州国际互联网访问能力</w:t>
      </w:r>
      <w:r>
        <w:rPr>
          <w:rFonts w:hint="eastAsia" w:ascii="仿宋" w:hAnsi="仿宋" w:eastAsia="仿宋_GB2312" w:cs="仿宋"/>
          <w:color w:val="000000" w:themeColor="text1"/>
          <w:sz w:val="32"/>
          <w:szCs w:val="32"/>
          <w14:textFill>
            <w14:solidFill>
              <w14:schemeClr w14:val="tx1"/>
            </w14:solidFill>
          </w14:textFill>
        </w:rPr>
        <w:t>。</w:t>
      </w:r>
      <w:r>
        <w:rPr>
          <w:rFonts w:hint="eastAsia" w:ascii="仿宋" w:hAnsi="仿宋" w:eastAsia="仿宋_GB2312" w:cs="仿宋"/>
          <w:sz w:val="32"/>
          <w:szCs w:val="32"/>
        </w:rPr>
        <w:t>持续优化互联网骨干网架构，完善以长沙（株洲、湘潭）</w:t>
      </w:r>
      <w:r>
        <w:rPr>
          <w:rFonts w:hint="eastAsia" w:ascii="仿宋" w:hAnsi="仿宋" w:eastAsia="仿宋_GB2312" w:cs="仿宋"/>
          <w:sz w:val="32"/>
          <w:szCs w:val="32"/>
          <w:lang w:eastAsia="zh-CN"/>
        </w:rPr>
        <w:t>、</w:t>
      </w:r>
      <w:r>
        <w:rPr>
          <w:rFonts w:hint="eastAsia" w:ascii="仿宋" w:hAnsi="仿宋" w:eastAsia="仿宋_GB2312" w:cs="仿宋"/>
          <w:sz w:val="32"/>
          <w:szCs w:val="32"/>
        </w:rPr>
        <w:t>衡阳为中心的传送骨干网。加快推进骨干网演进升级，引入2</w:t>
      </w:r>
      <w:r>
        <w:rPr>
          <w:rFonts w:ascii="仿宋" w:hAnsi="仿宋" w:eastAsia="仿宋_GB2312" w:cs="仿宋"/>
          <w:sz w:val="32"/>
          <w:szCs w:val="32"/>
        </w:rPr>
        <w:t>00/400G</w:t>
      </w:r>
      <w:r>
        <w:rPr>
          <w:rFonts w:hint="eastAsia" w:ascii="仿宋" w:hAnsi="仿宋" w:eastAsia="仿宋_GB2312" w:cs="仿宋"/>
          <w:sz w:val="32"/>
          <w:szCs w:val="32"/>
        </w:rPr>
        <w:t>超大容量光传输系统，打造P比特级骨干传输能力，大力推进1</w:t>
      </w:r>
      <w:r>
        <w:rPr>
          <w:rFonts w:ascii="仿宋" w:hAnsi="仿宋" w:eastAsia="仿宋_GB2312" w:cs="仿宋"/>
          <w:sz w:val="32"/>
          <w:szCs w:val="32"/>
        </w:rPr>
        <w:t>00G</w:t>
      </w:r>
      <w:r>
        <w:rPr>
          <w:rFonts w:hint="eastAsia" w:ascii="仿宋" w:hAnsi="仿宋" w:eastAsia="仿宋_GB2312" w:cs="仿宋"/>
          <w:sz w:val="32"/>
          <w:szCs w:val="32"/>
        </w:rPr>
        <w:t>及更高速率光传输系统向城域网下沉。</w:t>
      </w:r>
      <w:r>
        <w:rPr>
          <w:rFonts w:hint="eastAsia" w:ascii="仿宋" w:hAnsi="仿宋" w:eastAsia="仿宋_GB2312" w:cs="仿宋"/>
          <w:color w:val="000000" w:themeColor="text1"/>
          <w:sz w:val="32"/>
          <w:szCs w:val="32"/>
          <w14:textFill>
            <w14:solidFill>
              <w14:schemeClr w14:val="tx1"/>
            </w14:solidFill>
          </w14:textFill>
        </w:rPr>
        <w:t>推动电信企业在</w:t>
      </w:r>
      <w:r>
        <w:rPr>
          <w:rFonts w:hint="eastAsia" w:ascii="仿宋" w:hAnsi="仿宋" w:eastAsia="仿宋_GB2312" w:cs="仿宋"/>
          <w:sz w:val="32"/>
          <w:szCs w:val="32"/>
        </w:rPr>
        <w:t>运营数据中心开展直连网络建设，加快骨干网向以数据中心为核心的云网融合架构演进。强化骨干网、城域网与接入光网的匹配度，推进软件定义网络（S</w:t>
      </w:r>
      <w:r>
        <w:rPr>
          <w:rFonts w:ascii="仿宋" w:hAnsi="仿宋" w:eastAsia="仿宋_GB2312" w:cs="仿宋"/>
          <w:sz w:val="32"/>
          <w:szCs w:val="32"/>
        </w:rPr>
        <w:t>DN</w:t>
      </w:r>
      <w:r>
        <w:rPr>
          <w:rFonts w:hint="eastAsia" w:ascii="仿宋" w:hAnsi="仿宋" w:eastAsia="仿宋_GB2312" w:cs="仿宋"/>
          <w:sz w:val="32"/>
          <w:szCs w:val="32"/>
        </w:rPr>
        <w:t>）、网络功能虚拟化（N</w:t>
      </w:r>
      <w:r>
        <w:rPr>
          <w:rFonts w:ascii="仿宋" w:hAnsi="仿宋" w:eastAsia="仿宋_GB2312" w:cs="仿宋"/>
          <w:sz w:val="32"/>
          <w:szCs w:val="32"/>
        </w:rPr>
        <w:t>FV</w:t>
      </w:r>
      <w:r>
        <w:rPr>
          <w:rFonts w:hint="eastAsia" w:ascii="仿宋" w:hAnsi="仿宋" w:eastAsia="仿宋_GB2312" w:cs="仿宋"/>
          <w:sz w:val="32"/>
          <w:szCs w:val="32"/>
        </w:rPr>
        <w:t>）、I</w:t>
      </w:r>
      <w:r>
        <w:rPr>
          <w:rFonts w:ascii="仿宋" w:hAnsi="仿宋" w:eastAsia="仿宋_GB2312" w:cs="仿宋"/>
          <w:sz w:val="32"/>
          <w:szCs w:val="32"/>
        </w:rPr>
        <w:t>Pv6</w:t>
      </w:r>
      <w:r>
        <w:rPr>
          <w:rFonts w:hint="eastAsia" w:ascii="仿宋" w:hAnsi="仿宋" w:eastAsia="仿宋_GB2312" w:cs="仿宋"/>
          <w:sz w:val="32"/>
          <w:szCs w:val="32"/>
        </w:rPr>
        <w:t>分段路由（S</w:t>
      </w:r>
      <w:r>
        <w:rPr>
          <w:rFonts w:ascii="仿宋" w:hAnsi="仿宋" w:eastAsia="仿宋_GB2312" w:cs="仿宋"/>
          <w:sz w:val="32"/>
          <w:szCs w:val="32"/>
        </w:rPr>
        <w:t>R</w:t>
      </w:r>
      <w:r>
        <w:rPr>
          <w:rFonts w:hint="eastAsia" w:ascii="仿宋" w:hAnsi="仿宋" w:eastAsia="仿宋_GB2312" w:cs="仿宋"/>
          <w:sz w:val="32"/>
          <w:szCs w:val="32"/>
        </w:rPr>
        <w:t>v</w:t>
      </w:r>
      <w:r>
        <w:rPr>
          <w:rFonts w:ascii="仿宋" w:hAnsi="仿宋" w:eastAsia="仿宋_GB2312" w:cs="仿宋"/>
          <w:sz w:val="32"/>
          <w:szCs w:val="32"/>
        </w:rPr>
        <w:t>6</w:t>
      </w:r>
      <w:r>
        <w:rPr>
          <w:rFonts w:hint="eastAsia" w:ascii="仿宋" w:hAnsi="仿宋" w:eastAsia="仿宋_GB2312" w:cs="仿宋"/>
          <w:sz w:val="32"/>
          <w:szCs w:val="32"/>
        </w:rPr>
        <w:t>）、虚拟扩展局域网（VXLAN）等技术和全光交叉（O</w:t>
      </w:r>
      <w:r>
        <w:rPr>
          <w:rFonts w:ascii="仿宋" w:hAnsi="仿宋" w:eastAsia="仿宋_GB2312" w:cs="仿宋"/>
          <w:sz w:val="32"/>
          <w:szCs w:val="32"/>
        </w:rPr>
        <w:t>XC</w:t>
      </w:r>
      <w:r>
        <w:rPr>
          <w:rFonts w:hint="eastAsia" w:ascii="仿宋" w:hAnsi="仿宋" w:eastAsia="仿宋_GB2312" w:cs="仿宋"/>
          <w:sz w:val="32"/>
          <w:szCs w:val="32"/>
        </w:rPr>
        <w:t>）等设备规模化应用。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948" w:type="dxa"/>
            <w:vAlign w:val="center"/>
          </w:tcPr>
          <w:p>
            <w:pPr>
              <w:ind w:firstLine="562" w:firstLineChars="200"/>
              <w:jc w:val="center"/>
              <w:rPr>
                <w:rFonts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重点工程</w:t>
            </w:r>
            <w:r>
              <w:rPr>
                <w:rFonts w:ascii="楷体" w:hAnsi="楷体" w:eastAsia="楷体" w:cs="楷体"/>
                <w:b/>
                <w:bCs/>
                <w:color w:val="000000" w:themeColor="text1"/>
                <w:sz w:val="28"/>
                <w:szCs w:val="28"/>
                <w14:textFill>
                  <w14:solidFill>
                    <w14:schemeClr w14:val="tx1"/>
                  </w14:solidFill>
                </w14:textFill>
              </w:rPr>
              <w:t>2</w:t>
            </w:r>
            <w:r>
              <w:rPr>
                <w:rFonts w:hint="eastAsia" w:ascii="楷体" w:hAnsi="楷体" w:eastAsia="楷体" w:cs="楷体"/>
                <w:b/>
                <w:bCs/>
                <w:color w:val="000000" w:themeColor="text1"/>
                <w:sz w:val="28"/>
                <w:szCs w:val="28"/>
                <w14:textFill>
                  <w14:solidFill>
                    <w14:schemeClr w14:val="tx1"/>
                  </w14:solidFill>
                </w14:textFill>
              </w:rPr>
              <w:t>：骨干网和城域网协同扩容工程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8" w:type="dxa"/>
          </w:tcPr>
          <w:p>
            <w:pPr>
              <w:ind w:firstLine="562"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建设目标：</w:t>
            </w:r>
            <w:r>
              <w:rPr>
                <w:rFonts w:hint="eastAsia" w:ascii="楷体" w:hAnsi="楷体" w:eastAsia="楷体" w:cs="楷体"/>
                <w:bCs/>
                <w:color w:val="000000" w:themeColor="text1"/>
                <w:sz w:val="28"/>
                <w:szCs w:val="28"/>
                <w14:textFill>
                  <w14:solidFill>
                    <w14:schemeClr w14:val="tx1"/>
                  </w14:solidFill>
                </w14:textFill>
              </w:rPr>
              <w:t>优化互联网骨干网架构，打造P比特级骨干传输能力，建设智能骨干通信网络</w:t>
            </w:r>
            <w:r>
              <w:rPr>
                <w:rFonts w:hint="eastAsia" w:ascii="楷体" w:hAnsi="楷体" w:eastAsia="楷体" w:cs="楷体"/>
                <w:bCs/>
                <w:color w:val="000000" w:themeColor="text1"/>
                <w:sz w:val="28"/>
                <w:szCs w:val="28"/>
                <w:lang w:eastAsia="zh-CN"/>
                <w14:textFill>
                  <w14:solidFill>
                    <w14:schemeClr w14:val="tx1"/>
                  </w14:solidFill>
                </w14:textFill>
              </w:rPr>
              <w:t>，</w:t>
            </w:r>
            <w:r>
              <w:rPr>
                <w:rFonts w:hint="eastAsia" w:ascii="楷体" w:hAnsi="楷体" w:eastAsia="楷体" w:cs="楷体"/>
                <w:b w:val="0"/>
                <w:bCs/>
                <w:color w:val="000000" w:themeColor="text1"/>
                <w:sz w:val="28"/>
                <w:szCs w:val="28"/>
                <w14:textFill>
                  <w14:solidFill>
                    <w14:schemeClr w14:val="tx1"/>
                  </w14:solidFill>
                </w14:textFill>
              </w:rPr>
              <w:t>提升城域网承载能力</w:t>
            </w:r>
            <w:r>
              <w:rPr>
                <w:rFonts w:hint="eastAsia" w:ascii="楷体" w:hAnsi="楷体" w:eastAsia="楷体" w:cs="楷体"/>
                <w:color w:val="000000" w:themeColor="text1"/>
                <w:sz w:val="28"/>
                <w:szCs w:val="28"/>
                <w14:textFill>
                  <w14:solidFill>
                    <w14:schemeClr w14:val="tx1"/>
                  </w14:solidFill>
                </w14:textFill>
              </w:rPr>
              <w:t>。适度超前扩容省际互联网出口带宽，拓展省际出口方向，提</w:t>
            </w:r>
            <w:r>
              <w:rPr>
                <w:rFonts w:hint="eastAsia" w:ascii="楷体" w:hAnsi="楷体" w:eastAsia="楷体" w:cs="楷体"/>
                <w:color w:val="000000" w:themeColor="text1"/>
                <w:sz w:val="28"/>
                <w:szCs w:val="28"/>
                <w:lang w:eastAsia="zh-CN"/>
                <w14:textFill>
                  <w14:solidFill>
                    <w14:schemeClr w14:val="tx1"/>
                  </w14:solidFill>
                </w14:textFill>
              </w:rPr>
              <w:t>高省</w:t>
            </w:r>
            <w:r>
              <w:rPr>
                <w:rFonts w:hint="eastAsia" w:ascii="楷体" w:hAnsi="楷体" w:eastAsia="楷体" w:cs="楷体"/>
                <w:color w:val="000000" w:themeColor="text1"/>
                <w:sz w:val="28"/>
                <w:szCs w:val="28"/>
                <w14:textFill>
                  <w14:solidFill>
                    <w14:schemeClr w14:val="tx1"/>
                  </w14:solidFill>
                </w14:textFill>
              </w:rPr>
              <w:t>际</w:t>
            </w:r>
            <w:r>
              <w:rPr>
                <w:rFonts w:hint="eastAsia" w:ascii="楷体" w:hAnsi="楷体" w:eastAsia="楷体" w:cs="楷体"/>
                <w:color w:val="000000" w:themeColor="text1"/>
                <w:sz w:val="28"/>
                <w:szCs w:val="28"/>
                <w:lang w:eastAsia="zh-CN"/>
                <w14:textFill>
                  <w14:solidFill>
                    <w14:schemeClr w14:val="tx1"/>
                  </w14:solidFill>
                </w14:textFill>
              </w:rPr>
              <w:t>带宽</w:t>
            </w:r>
            <w:r>
              <w:rPr>
                <w:rFonts w:hint="eastAsia" w:ascii="楷体" w:hAnsi="楷体" w:eastAsia="楷体" w:cs="楷体"/>
                <w:color w:val="000000" w:themeColor="text1"/>
                <w:sz w:val="28"/>
                <w:szCs w:val="28"/>
                <w14:textFill>
                  <w14:solidFill>
                    <w14:schemeClr w14:val="tx1"/>
                  </w14:solidFill>
                </w14:textFill>
              </w:rPr>
              <w:t>质量，保障灾备需要。</w:t>
            </w:r>
          </w:p>
          <w:p>
            <w:pPr>
              <w:ind w:firstLine="562"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建设内容：</w:t>
            </w:r>
            <w:r>
              <w:rPr>
                <w:rFonts w:hint="eastAsia" w:ascii="楷体" w:hAnsi="楷体" w:eastAsia="楷体" w:cs="楷体"/>
                <w:color w:val="000000" w:themeColor="text1"/>
                <w:sz w:val="28"/>
                <w:szCs w:val="28"/>
                <w14:textFill>
                  <w14:solidFill>
                    <w14:schemeClr w14:val="tx1"/>
                  </w14:solidFill>
                </w14:textFill>
              </w:rPr>
              <w:t>一是提升骨干传送网承载能力，按需部署200/400G超大容量光传输系统，加快推动灵活全光交叉（O</w:t>
            </w:r>
            <w:r>
              <w:rPr>
                <w:rFonts w:ascii="楷体" w:hAnsi="楷体" w:eastAsia="楷体" w:cs="楷体"/>
                <w:color w:val="000000" w:themeColor="text1"/>
                <w:sz w:val="28"/>
                <w:szCs w:val="28"/>
                <w14:textFill>
                  <w14:solidFill>
                    <w14:schemeClr w14:val="tx1"/>
                  </w14:solidFill>
                </w14:textFill>
              </w:rPr>
              <w:t>XC</w:t>
            </w:r>
            <w:r>
              <w:rPr>
                <w:rFonts w:hint="eastAsia" w:ascii="楷体" w:hAnsi="楷体" w:eastAsia="楷体" w:cs="楷体"/>
                <w:color w:val="000000" w:themeColor="text1"/>
                <w:sz w:val="28"/>
                <w:szCs w:val="28"/>
                <w14:textFill>
                  <w14:solidFill>
                    <w14:schemeClr w14:val="tx1"/>
                  </w14:solidFill>
                </w14:textFill>
              </w:rPr>
              <w:t>）、智能管控等技术应用，大力推进100G及更高速率光传输系统向城域网下沉，加强新型超低损耗光纤在新建干线光缆工程中的推广应用；二是持续优化数据中心互联能力，推动电信企业面向数据中心高速互联需求，开展4</w:t>
            </w:r>
            <w:r>
              <w:rPr>
                <w:rFonts w:ascii="楷体" w:hAnsi="楷体" w:eastAsia="楷体" w:cs="楷体"/>
                <w:color w:val="000000" w:themeColor="text1"/>
                <w:sz w:val="28"/>
                <w:szCs w:val="28"/>
                <w14:textFill>
                  <w14:solidFill>
                    <w14:schemeClr w14:val="tx1"/>
                  </w14:solidFill>
                </w14:textFill>
              </w:rPr>
              <w:t>00Gbps</w:t>
            </w:r>
            <w:r>
              <w:rPr>
                <w:rFonts w:hint="eastAsia" w:ascii="楷体" w:hAnsi="楷体" w:eastAsia="楷体" w:cs="楷体"/>
                <w:color w:val="000000" w:themeColor="text1"/>
                <w:sz w:val="28"/>
                <w:szCs w:val="28"/>
                <w14:textFill>
                  <w14:solidFill>
                    <w14:schemeClr w14:val="tx1"/>
                  </w14:solidFill>
                </w14:textFill>
              </w:rPr>
              <w:t>光传输系统部署应用，开展数据中心直连网络、定向网络直连建设；三是推进面向综合业务的承载网建设，推动5G承载网城域接入层按需部署50Gbps系统，城域汇聚层和核心层按需部署100Gbps或200Gbps系统。</w:t>
            </w:r>
          </w:p>
        </w:tc>
      </w:tr>
    </w:tbl>
    <w:p>
      <w:pPr>
        <w:spacing w:line="360" w:lineRule="auto"/>
        <w:ind w:firstLine="643" w:firstLineChars="200"/>
        <w:rPr>
          <w:rFonts w:ascii="仿宋" w:hAnsi="仿宋" w:eastAsia="仿宋_GB2312" w:cs="仿宋"/>
          <w:color w:val="FF0000"/>
          <w:sz w:val="32"/>
          <w:szCs w:val="32"/>
        </w:rPr>
      </w:pPr>
      <w:r>
        <w:rPr>
          <w:rFonts w:hint="eastAsia" w:ascii="仿宋" w:hAnsi="仿宋" w:eastAsia="仿宋_GB2312" w:cs="仿宋"/>
          <w:b/>
          <w:bCs/>
          <w:color w:val="auto"/>
          <w:sz w:val="32"/>
          <w:szCs w:val="32"/>
        </w:rPr>
        <w:t>深入推进I</w:t>
      </w:r>
      <w:r>
        <w:rPr>
          <w:rFonts w:ascii="仿宋" w:hAnsi="仿宋" w:eastAsia="仿宋_GB2312" w:cs="仿宋"/>
          <w:b/>
          <w:bCs/>
          <w:color w:val="auto"/>
          <w:sz w:val="32"/>
          <w:szCs w:val="32"/>
        </w:rPr>
        <w:t>Pv6</w:t>
      </w:r>
      <w:r>
        <w:rPr>
          <w:rFonts w:hint="eastAsia" w:ascii="仿宋" w:hAnsi="仿宋" w:eastAsia="仿宋_GB2312" w:cs="仿宋"/>
          <w:b/>
          <w:bCs/>
          <w:color w:val="auto"/>
          <w:sz w:val="32"/>
          <w:szCs w:val="32"/>
        </w:rPr>
        <w:t>部署。</w:t>
      </w:r>
      <w:r>
        <w:rPr>
          <w:rFonts w:hint="eastAsia" w:ascii="仿宋" w:hAnsi="仿宋" w:eastAsia="仿宋_GB2312" w:cs="仿宋"/>
          <w:b w:val="0"/>
          <w:bCs w:val="0"/>
          <w:color w:val="auto"/>
          <w:sz w:val="32"/>
          <w:szCs w:val="32"/>
          <w:lang w:eastAsia="zh-CN"/>
        </w:rPr>
        <w:t>推动</w:t>
      </w:r>
      <w:r>
        <w:rPr>
          <w:rFonts w:hint="eastAsia" w:ascii="仿宋" w:hAnsi="仿宋" w:eastAsia="仿宋_GB2312" w:cs="仿宋"/>
          <w:color w:val="auto"/>
          <w:sz w:val="32"/>
          <w:szCs w:val="32"/>
        </w:rPr>
        <w:t>基础电信企业深化网络基础设施IPv6改造，千兆光网、5G网络等新建网络同步部署IPv6，新增互联网骨干直联点和新型交换中心应支持IPv6</w:t>
      </w:r>
      <w:r>
        <w:rPr>
          <w:rFonts w:hint="eastAsia" w:ascii="仿宋" w:hAnsi="仿宋" w:eastAsia="仿宋_GB2312" w:cs="仿宋"/>
          <w:color w:val="auto"/>
          <w:sz w:val="32"/>
          <w:szCs w:val="32"/>
          <w:lang w:eastAsia="zh-CN"/>
        </w:rPr>
        <w:t>，</w:t>
      </w:r>
      <w:r>
        <w:rPr>
          <w:rFonts w:hint="eastAsia" w:ascii="仿宋" w:hAnsi="仿宋" w:eastAsia="仿宋_GB2312" w:cs="仿宋"/>
          <w:color w:val="auto"/>
          <w:sz w:val="32"/>
          <w:szCs w:val="32"/>
        </w:rPr>
        <w:t>加快数据中心IPv6深度改造</w:t>
      </w:r>
      <w:r>
        <w:rPr>
          <w:rFonts w:hint="eastAsia" w:ascii="仿宋" w:hAnsi="仿宋" w:eastAsia="仿宋_GB2312" w:cs="仿宋"/>
          <w:color w:val="auto"/>
          <w:sz w:val="32"/>
          <w:szCs w:val="32"/>
          <w:lang w:val="en-US" w:eastAsia="zh-CN"/>
        </w:rPr>
        <w:t>,新建数据中心应支持IPv6，</w:t>
      </w:r>
      <w:r>
        <w:rPr>
          <w:rFonts w:hint="eastAsia" w:ascii="仿宋" w:hAnsi="仿宋" w:eastAsia="仿宋_GB2312" w:cs="仿宋"/>
          <w:color w:val="auto"/>
          <w:sz w:val="32"/>
          <w:szCs w:val="32"/>
        </w:rPr>
        <w:t>工业互联网标识解析二级节点和递归节点全面支持IPv6，新增解析节点应支持IPv6</w:t>
      </w:r>
      <w:r>
        <w:rPr>
          <w:rFonts w:hint="eastAsia" w:ascii="仿宋" w:hAnsi="仿宋" w:eastAsia="仿宋_GB2312" w:cs="仿宋"/>
          <w:color w:val="auto"/>
          <w:sz w:val="32"/>
          <w:szCs w:val="32"/>
          <w:lang w:val="en-US" w:eastAsia="zh-CN"/>
        </w:rPr>
        <w:t>。全面推进视频、游戏、资讯、社交、电商、生活服务等互联网应用企业继续深化IPv6改造，实现全业务、全功能优先采用IPv6访问，特别是视频类、社交类、直播类、教育类等大流量互联网应用企业要进一步提升应用IPv6浓度，带动全网IPv6流量提升。鼓励典型行业、重点企业拓展工业互联网IPv6应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095" w:type="dxa"/>
            <w:vAlign w:val="center"/>
          </w:tcPr>
          <w:p>
            <w:pPr>
              <w:ind w:firstLine="562" w:firstLineChars="200"/>
              <w:jc w:val="center"/>
              <w:rPr>
                <w:rFonts w:ascii="楷体" w:hAnsi="楷体" w:eastAsia="楷体" w:cs="楷体"/>
                <w:b/>
                <w:bCs/>
                <w:sz w:val="28"/>
                <w:szCs w:val="28"/>
              </w:rPr>
            </w:pPr>
            <w:r>
              <w:rPr>
                <w:rFonts w:hint="eastAsia" w:ascii="楷体" w:hAnsi="楷体" w:eastAsia="楷体" w:cs="楷体"/>
                <w:b/>
                <w:bCs/>
                <w:sz w:val="28"/>
                <w:szCs w:val="28"/>
              </w:rPr>
              <w:t>重点工程</w:t>
            </w:r>
            <w:r>
              <w:rPr>
                <w:rFonts w:ascii="楷体" w:hAnsi="楷体" w:eastAsia="楷体" w:cs="楷体"/>
                <w:b/>
                <w:bCs/>
                <w:sz w:val="28"/>
                <w:szCs w:val="28"/>
              </w:rPr>
              <w:t>3</w:t>
            </w:r>
            <w:r>
              <w:rPr>
                <w:rFonts w:hint="eastAsia" w:ascii="楷体" w:hAnsi="楷体" w:eastAsia="楷体" w:cs="楷体"/>
                <w:b/>
                <w:bCs/>
                <w:sz w:val="28"/>
                <w:szCs w:val="28"/>
              </w:rPr>
              <w:t>：I</w:t>
            </w:r>
            <w:r>
              <w:rPr>
                <w:rFonts w:ascii="楷体" w:hAnsi="楷体" w:eastAsia="楷体" w:cs="楷体"/>
                <w:b/>
                <w:bCs/>
                <w:sz w:val="28"/>
                <w:szCs w:val="28"/>
              </w:rPr>
              <w:t>Pv6</w:t>
            </w:r>
            <w:r>
              <w:rPr>
                <w:rFonts w:hint="eastAsia" w:ascii="楷体" w:hAnsi="楷体" w:eastAsia="楷体" w:cs="楷体"/>
                <w:b/>
                <w:bCs/>
                <w:sz w:val="28"/>
                <w:szCs w:val="28"/>
              </w:rPr>
              <w:t>流量提升工程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5" w:type="dxa"/>
          </w:tcPr>
          <w:p>
            <w:pPr>
              <w:ind w:firstLine="562" w:firstLineChars="200"/>
              <w:rPr>
                <w:rFonts w:ascii="楷体" w:hAnsi="楷体" w:eastAsia="楷体" w:cs="楷体"/>
                <w:sz w:val="28"/>
                <w:szCs w:val="28"/>
              </w:rPr>
            </w:pPr>
            <w:r>
              <w:rPr>
                <w:rFonts w:hint="eastAsia" w:ascii="楷体" w:hAnsi="楷体" w:eastAsia="楷体" w:cs="楷体"/>
                <w:b/>
                <w:sz w:val="28"/>
                <w:szCs w:val="28"/>
              </w:rPr>
              <w:t>建设目标：</w:t>
            </w:r>
            <w:r>
              <w:rPr>
                <w:rFonts w:hint="eastAsia" w:ascii="楷体" w:hAnsi="楷体" w:eastAsia="楷体" w:cs="楷体"/>
                <w:bCs/>
                <w:sz w:val="28"/>
                <w:szCs w:val="28"/>
              </w:rPr>
              <w:t>到2</w:t>
            </w:r>
            <w:r>
              <w:rPr>
                <w:rFonts w:ascii="楷体" w:hAnsi="楷体" w:eastAsia="楷体" w:cs="楷体"/>
                <w:bCs/>
                <w:sz w:val="28"/>
                <w:szCs w:val="28"/>
              </w:rPr>
              <w:t>025</w:t>
            </w:r>
            <w:r>
              <w:rPr>
                <w:rFonts w:hint="eastAsia" w:ascii="楷体" w:hAnsi="楷体" w:eastAsia="楷体" w:cs="楷体"/>
                <w:bCs/>
                <w:sz w:val="28"/>
                <w:szCs w:val="28"/>
              </w:rPr>
              <w:t>年，基础网络和应用基础设施实现IPv6全覆盖，终端和应用IPv6支持能力显著提升，网络IPv6服务性能与IPv4趋同，移动网络IPv6流量占比超过70%</w:t>
            </w:r>
            <w:r>
              <w:rPr>
                <w:rFonts w:ascii="楷体" w:hAnsi="楷体" w:eastAsia="楷体" w:cs="楷体"/>
                <w:color w:val="000000" w:themeColor="text1"/>
                <w:sz w:val="28"/>
                <w:szCs w:val="28"/>
                <w14:textFill>
                  <w14:solidFill>
                    <w14:schemeClr w14:val="tx1"/>
                  </w14:solidFill>
                </w14:textFill>
              </w:rPr>
              <w:t>。</w:t>
            </w:r>
          </w:p>
          <w:p>
            <w:pPr>
              <w:widowControl/>
              <w:ind w:firstLine="562" w:firstLineChars="200"/>
              <w:rPr>
                <w:rFonts w:ascii="楷体" w:hAnsi="楷体" w:eastAsia="楷体" w:cs="楷体"/>
                <w:sz w:val="28"/>
                <w:szCs w:val="28"/>
              </w:rPr>
            </w:pPr>
            <w:r>
              <w:rPr>
                <w:rFonts w:hint="eastAsia" w:ascii="楷体" w:hAnsi="楷体" w:eastAsia="楷体" w:cs="楷体"/>
                <w:b/>
                <w:sz w:val="28"/>
                <w:szCs w:val="28"/>
              </w:rPr>
              <w:t>建设内容</w:t>
            </w:r>
            <w:r>
              <w:rPr>
                <w:rFonts w:hint="eastAsia" w:ascii="楷体" w:hAnsi="楷体" w:eastAsia="楷体" w:cs="楷体"/>
                <w:sz w:val="28"/>
                <w:szCs w:val="28"/>
              </w:rPr>
              <w:t>：</w:t>
            </w:r>
          </w:p>
          <w:p>
            <w:pPr>
              <w:widowControl/>
              <w:ind w:firstLine="562" w:firstLineChars="200"/>
              <w:rPr>
                <w:rFonts w:ascii="楷体" w:hAnsi="楷体" w:eastAsia="楷体" w:cs="楷体"/>
                <w:sz w:val="28"/>
                <w:szCs w:val="28"/>
              </w:rPr>
            </w:pPr>
            <w:r>
              <w:rPr>
                <w:rFonts w:ascii="楷体" w:hAnsi="楷体" w:eastAsia="楷体" w:cs="楷体"/>
                <w:b/>
                <w:bCs/>
                <w:sz w:val="28"/>
                <w:szCs w:val="28"/>
              </w:rPr>
              <w:t>1.</w:t>
            </w:r>
            <w:r>
              <w:rPr>
                <w:rFonts w:hint="eastAsia" w:ascii="楷体" w:hAnsi="楷体" w:eastAsia="楷体" w:cs="楷体"/>
                <w:b/>
                <w:bCs/>
                <w:sz w:val="28"/>
                <w:szCs w:val="28"/>
              </w:rPr>
              <w:t>优化I</w:t>
            </w:r>
            <w:r>
              <w:rPr>
                <w:rFonts w:ascii="楷体" w:hAnsi="楷体" w:eastAsia="楷体" w:cs="楷体"/>
                <w:b/>
                <w:bCs/>
                <w:sz w:val="28"/>
                <w:szCs w:val="28"/>
              </w:rPr>
              <w:t>Pv6</w:t>
            </w:r>
            <w:r>
              <w:rPr>
                <w:rFonts w:hint="eastAsia" w:ascii="楷体" w:hAnsi="楷体" w:eastAsia="楷体" w:cs="楷体"/>
                <w:b/>
                <w:bCs/>
                <w:sz w:val="28"/>
                <w:szCs w:val="28"/>
              </w:rPr>
              <w:t>网络服务能力。</w:t>
            </w:r>
            <w:r>
              <w:rPr>
                <w:rFonts w:hint="eastAsia" w:ascii="楷体" w:hAnsi="楷体" w:eastAsia="楷体" w:cs="楷体"/>
                <w:sz w:val="28"/>
                <w:szCs w:val="28"/>
              </w:rPr>
              <w:t>一是优化骨干网、移动核心网、宽带接入网IPv6网络关键性能指标；二是加快完成现网CDN节点、云计算平台IPv6改造，新建全面支持IPv6；三是</w:t>
            </w:r>
            <w:r>
              <w:rPr>
                <w:rFonts w:hint="eastAsia" w:ascii="楷体" w:hAnsi="楷体" w:eastAsia="楷体" w:cs="楷体"/>
                <w:color w:val="auto"/>
                <w:sz w:val="28"/>
                <w:szCs w:val="28"/>
              </w:rPr>
              <w:t>全面推进宽带数据网络</w:t>
            </w:r>
            <w:r>
              <w:rPr>
                <w:rFonts w:hint="eastAsia" w:ascii="楷体" w:hAnsi="楷体" w:eastAsia="楷体" w:cs="楷体"/>
                <w:sz w:val="28"/>
                <w:szCs w:val="28"/>
              </w:rPr>
              <w:t>IPv6改造，提高宽带接入网络IPv6服务能力，推动广电网络业务系统和平台的IPv6端到端贯通；四是推进5G独立组网（SA）、物联网等网络IPv6单栈试点，探索试点系统内不再使用私有IPv4地址，逐步实现网络承载、控制和管理层面的IPv6单栈部署。</w:t>
            </w:r>
          </w:p>
          <w:p>
            <w:pPr>
              <w:widowControl/>
              <w:ind w:firstLine="562" w:firstLineChars="200"/>
              <w:rPr>
                <w:rFonts w:ascii="楷体" w:hAnsi="楷体" w:eastAsia="楷体" w:cs="楷体"/>
                <w:sz w:val="28"/>
                <w:szCs w:val="28"/>
              </w:rPr>
            </w:pPr>
            <w:r>
              <w:rPr>
                <w:rFonts w:hint="eastAsia" w:ascii="楷体" w:hAnsi="楷体" w:eastAsia="楷体" w:cs="楷体"/>
                <w:b/>
                <w:bCs/>
                <w:sz w:val="28"/>
                <w:szCs w:val="28"/>
              </w:rPr>
              <w:t>2</w:t>
            </w:r>
            <w:r>
              <w:rPr>
                <w:rFonts w:ascii="楷体" w:hAnsi="楷体" w:eastAsia="楷体" w:cs="楷体"/>
                <w:b/>
                <w:bCs/>
                <w:sz w:val="28"/>
                <w:szCs w:val="28"/>
              </w:rPr>
              <w:t>.</w:t>
            </w:r>
            <w:r>
              <w:rPr>
                <w:rFonts w:hint="eastAsia" w:ascii="楷体" w:hAnsi="楷体" w:eastAsia="楷体" w:cs="楷体"/>
                <w:b/>
                <w:bCs/>
                <w:sz w:val="28"/>
                <w:szCs w:val="28"/>
              </w:rPr>
              <w:t>提高I</w:t>
            </w:r>
            <w:r>
              <w:rPr>
                <w:rFonts w:ascii="楷体" w:hAnsi="楷体" w:eastAsia="楷体" w:cs="楷体"/>
                <w:b/>
                <w:bCs/>
                <w:sz w:val="28"/>
                <w:szCs w:val="28"/>
              </w:rPr>
              <w:t>Pv6</w:t>
            </w:r>
            <w:r>
              <w:rPr>
                <w:rFonts w:hint="eastAsia" w:ascii="楷体" w:hAnsi="楷体" w:eastAsia="楷体" w:cs="楷体"/>
                <w:b/>
                <w:bCs/>
                <w:sz w:val="28"/>
                <w:szCs w:val="28"/>
              </w:rPr>
              <w:t>应用发展水平。</w:t>
            </w:r>
            <w:r>
              <w:rPr>
                <w:rFonts w:hint="eastAsia" w:ascii="楷体" w:hAnsi="楷体" w:eastAsia="楷体" w:cs="楷体"/>
                <w:sz w:val="28"/>
                <w:szCs w:val="28"/>
              </w:rPr>
              <w:t>一是推动家庭路由器、智能电视、机顶盒及物联网终端等支持IPv6，加快对具备条件的存量终端设备通过固件及系统升级等方式支持IPv6；二是落实网络安全等级保护制度，明确IPv6安全保护要求；三是加强重点领域IPv6安全防护体系建设，升级安全系统，强化复杂场景下IPv6安全保障能力。依托国家网络与信息安全信息通报机制，构建IPv6安全监测体系，提高IPv6安全态势感知、通报预警和应急响应能力。</w:t>
            </w:r>
          </w:p>
        </w:tc>
      </w:tr>
    </w:tbl>
    <w:p>
      <w:pPr>
        <w:spacing w:line="360" w:lineRule="auto"/>
        <w:ind w:firstLine="643" w:firstLineChars="200"/>
        <w:rPr>
          <w:rFonts w:ascii="仿宋" w:hAnsi="仿宋" w:eastAsia="仿宋_GB2312" w:cs="仿宋"/>
          <w:sz w:val="32"/>
          <w:szCs w:val="32"/>
        </w:rPr>
      </w:pPr>
      <w:r>
        <w:rPr>
          <w:rFonts w:hint="eastAsia" w:ascii="仿宋" w:hAnsi="仿宋" w:eastAsia="仿宋_GB2312" w:cs="仿宋"/>
          <w:b/>
          <w:bCs/>
          <w:color w:val="000000" w:themeColor="text1"/>
          <w:sz w:val="32"/>
          <w:szCs w:val="32"/>
          <w14:textFill>
            <w14:solidFill>
              <w14:schemeClr w14:val="tx1"/>
            </w14:solidFill>
          </w14:textFill>
        </w:rPr>
        <w:t>统筹</w:t>
      </w:r>
      <w:r>
        <w:rPr>
          <w:rFonts w:hint="eastAsia" w:ascii="仿宋" w:hAnsi="仿宋" w:eastAsia="仿宋_GB2312" w:cs="仿宋"/>
          <w:b/>
          <w:bCs/>
          <w:sz w:val="32"/>
          <w:szCs w:val="32"/>
        </w:rPr>
        <w:t>推进物联网</w:t>
      </w:r>
      <w:r>
        <w:rPr>
          <w:rFonts w:hint="eastAsia" w:ascii="仿宋" w:hAnsi="仿宋" w:eastAsia="仿宋_GB2312" w:cs="仿宋"/>
          <w:b/>
          <w:bCs/>
          <w:sz w:val="32"/>
          <w:szCs w:val="32"/>
          <w:lang w:eastAsia="zh-CN"/>
        </w:rPr>
        <w:t>北斗</w:t>
      </w:r>
      <w:r>
        <w:rPr>
          <w:rFonts w:hint="eastAsia" w:ascii="仿宋" w:hAnsi="仿宋" w:eastAsia="仿宋_GB2312" w:cs="仿宋"/>
          <w:b/>
          <w:bCs/>
          <w:sz w:val="32"/>
          <w:szCs w:val="32"/>
        </w:rPr>
        <w:t>全面发展。</w:t>
      </w:r>
      <w:r>
        <w:rPr>
          <w:rFonts w:hint="eastAsia" w:ascii="仿宋" w:hAnsi="仿宋" w:eastAsia="仿宋_GB2312" w:cs="仿宋"/>
          <w:sz w:val="32"/>
          <w:szCs w:val="32"/>
        </w:rPr>
        <w:t>打造固移融合、宽窄结合的物联网接入能力，加速推进全面感知、泛在连接、安全可信的物联网新型基础设施。</w:t>
      </w:r>
      <w:r>
        <w:rPr>
          <w:rFonts w:ascii="仿宋" w:hAnsi="仿宋" w:eastAsia="仿宋_GB2312" w:cs="仿宋"/>
          <w:sz w:val="32"/>
          <w:szCs w:val="32"/>
        </w:rPr>
        <w:t>大力</w:t>
      </w:r>
      <w:r>
        <w:rPr>
          <w:rFonts w:hint="eastAsia" w:ascii="仿宋" w:hAnsi="仿宋" w:eastAsia="仿宋_GB2312" w:cs="仿宋"/>
          <w:sz w:val="32"/>
          <w:szCs w:val="32"/>
        </w:rPr>
        <w:t>推动2</w:t>
      </w:r>
      <w:r>
        <w:rPr>
          <w:rFonts w:ascii="仿宋" w:hAnsi="仿宋" w:eastAsia="仿宋_GB2312" w:cs="仿宋"/>
          <w:sz w:val="32"/>
          <w:szCs w:val="32"/>
        </w:rPr>
        <w:t>G/3G</w:t>
      </w:r>
      <w:r>
        <w:rPr>
          <w:rFonts w:hint="eastAsia" w:ascii="仿宋" w:hAnsi="仿宋" w:eastAsia="仿宋_GB2312" w:cs="仿宋"/>
          <w:sz w:val="32"/>
          <w:szCs w:val="32"/>
        </w:rPr>
        <w:t>物联网业务向NB-IoT/4G（含LTE-Cat1）/5G迁移，按需开展NB-IoT等物联网网络建设，打造高、中、低速率协同发展的移动物联网体系，全面满足不同速率、不同时延要求的各类业务需求。加快物联网管理、应用使能平台建设。加强北斗导航位置服务能力建设，优化北斗卫星基准站网站点分布，积极推动已有的骨干站点升级，加快重要站点、普通站点、加密站点建设和设施改造升级，建成更加泛在的高精度区域基准站网。</w:t>
      </w:r>
    </w:p>
    <w:p>
      <w:pPr>
        <w:spacing w:line="360" w:lineRule="auto"/>
        <w:ind w:firstLine="643" w:firstLineChars="200"/>
        <w:rPr>
          <w:rFonts w:ascii="仿宋" w:hAnsi="仿宋" w:eastAsia="仿宋" w:cs="仿宋"/>
          <w:sz w:val="32"/>
          <w:szCs w:val="32"/>
        </w:rPr>
      </w:pPr>
      <w:r>
        <w:rPr>
          <w:rFonts w:hint="eastAsia" w:ascii="仿宋" w:hAnsi="仿宋" w:eastAsia="仿宋_GB2312" w:cs="仿宋"/>
          <w:b/>
          <w:bCs/>
          <w:sz w:val="32"/>
          <w:szCs w:val="32"/>
        </w:rPr>
        <w:t>大力升级乡村振兴</w:t>
      </w:r>
      <w:r>
        <w:rPr>
          <w:rFonts w:hint="eastAsia" w:ascii="仿宋" w:hAnsi="仿宋" w:eastAsia="仿宋_GB2312" w:cs="仿宋"/>
          <w:b/>
          <w:bCs/>
          <w:sz w:val="32"/>
          <w:szCs w:val="32"/>
          <w:lang w:eastAsia="zh-CN"/>
        </w:rPr>
        <w:t>信息通信</w:t>
      </w:r>
      <w:r>
        <w:rPr>
          <w:rFonts w:hint="eastAsia" w:ascii="仿宋" w:hAnsi="仿宋" w:eastAsia="仿宋_GB2312" w:cs="仿宋"/>
          <w:b/>
          <w:bCs/>
          <w:sz w:val="32"/>
          <w:szCs w:val="32"/>
        </w:rPr>
        <w:t>基础设施</w:t>
      </w:r>
      <w:r>
        <w:rPr>
          <w:rFonts w:hint="eastAsia" w:ascii="仿宋" w:hAnsi="仿宋" w:eastAsia="仿宋_GB2312" w:cs="仿宋"/>
          <w:sz w:val="32"/>
          <w:szCs w:val="32"/>
        </w:rPr>
        <w:t>。立足电信普遍服务试点，加大农村和偏远地区</w:t>
      </w:r>
      <w:r>
        <w:rPr>
          <w:rFonts w:hint="eastAsia" w:ascii="仿宋" w:hAnsi="仿宋" w:eastAsia="仿宋_GB2312" w:cs="仿宋"/>
          <w:sz w:val="32"/>
          <w:szCs w:val="32"/>
          <w:lang w:eastAsia="zh-CN"/>
        </w:rPr>
        <w:t>信息</w:t>
      </w:r>
      <w:r>
        <w:rPr>
          <w:rFonts w:hint="eastAsia" w:ascii="仿宋" w:hAnsi="仿宋" w:eastAsia="仿宋_GB2312" w:cs="仿宋"/>
          <w:sz w:val="32"/>
          <w:szCs w:val="32"/>
        </w:rPr>
        <w:t>通信基础设施升级改造支持力度。加快农村</w:t>
      </w:r>
      <w:r>
        <w:rPr>
          <w:rFonts w:hint="eastAsia" w:ascii="仿宋" w:hAnsi="仿宋" w:eastAsia="仿宋_GB2312" w:cs="仿宋"/>
          <w:sz w:val="32"/>
          <w:szCs w:val="32"/>
          <w:lang w:eastAsia="zh-CN"/>
        </w:rPr>
        <w:t>光纤</w:t>
      </w:r>
      <w:r>
        <w:rPr>
          <w:rFonts w:hint="eastAsia" w:ascii="仿宋" w:hAnsi="仿宋" w:eastAsia="仿宋_GB2312" w:cs="仿宋"/>
          <w:sz w:val="32"/>
          <w:szCs w:val="32"/>
        </w:rPr>
        <w:t>宽带网、移动互联网、数字电视网发展，推动高速宽带网络向自然村、村民小组延伸覆盖。</w:t>
      </w:r>
      <w:r>
        <w:rPr>
          <w:rFonts w:hint="eastAsia" w:ascii="仿宋" w:hAnsi="仿宋" w:eastAsia="仿宋_GB2312" w:cs="仿宋"/>
          <w:sz w:val="32"/>
          <w:szCs w:val="32"/>
          <w:lang w:eastAsia="zh-CN"/>
        </w:rPr>
        <w:t>在</w:t>
      </w:r>
      <w:r>
        <w:rPr>
          <w:rFonts w:hint="eastAsia" w:ascii="仿宋" w:hAnsi="仿宋" w:eastAsia="仿宋_GB2312" w:cs="仿宋"/>
          <w:sz w:val="32"/>
          <w:szCs w:val="32"/>
        </w:rPr>
        <w:t>有条件、有需求的农村地区开展5</w:t>
      </w:r>
      <w:r>
        <w:rPr>
          <w:rFonts w:ascii="仿宋" w:hAnsi="仿宋" w:eastAsia="仿宋_GB2312" w:cs="仿宋"/>
          <w:sz w:val="32"/>
          <w:szCs w:val="32"/>
        </w:rPr>
        <w:t>G</w:t>
      </w:r>
      <w:r>
        <w:rPr>
          <w:rFonts w:hint="eastAsia" w:ascii="仿宋" w:hAnsi="仿宋" w:eastAsia="仿宋_GB2312" w:cs="仿宋"/>
          <w:sz w:val="32"/>
          <w:szCs w:val="32"/>
        </w:rPr>
        <w:t>和千兆光纤网络建设，加大农业生产场景移动物联网部署。建设农业农村遥感卫星等天基设施，夯实农业遥感发展基础。建设低空无人机数字农业综合应用公共服务平台，提升农用无人机北斗示范应用水平。加强农村地区通信网络日常运行维护，全面推进数字乡村建设，有力支撑乡村振兴。</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095" w:type="dxa"/>
            <w:vAlign w:val="center"/>
          </w:tcPr>
          <w:p>
            <w:pPr>
              <w:ind w:firstLine="562" w:firstLineChars="200"/>
              <w:jc w:val="center"/>
              <w:rPr>
                <w:rFonts w:ascii="楷体" w:hAnsi="楷体" w:eastAsia="楷体" w:cs="楷体"/>
                <w:b/>
                <w:bCs/>
                <w:sz w:val="28"/>
                <w:szCs w:val="28"/>
              </w:rPr>
            </w:pPr>
            <w:r>
              <w:rPr>
                <w:rFonts w:hint="eastAsia" w:ascii="楷体" w:hAnsi="楷体" w:eastAsia="楷体" w:cs="楷体"/>
                <w:b/>
                <w:bCs/>
                <w:sz w:val="28"/>
                <w:szCs w:val="28"/>
              </w:rPr>
              <w:t>重点工程</w:t>
            </w:r>
            <w:r>
              <w:rPr>
                <w:rFonts w:ascii="楷体" w:hAnsi="楷体" w:eastAsia="楷体" w:cs="楷体"/>
                <w:b/>
                <w:bCs/>
                <w:sz w:val="28"/>
                <w:szCs w:val="28"/>
              </w:rPr>
              <w:t>4</w:t>
            </w:r>
            <w:r>
              <w:rPr>
                <w:rFonts w:hint="eastAsia" w:ascii="楷体" w:hAnsi="楷体" w:eastAsia="楷体" w:cs="楷体"/>
                <w:b/>
                <w:bCs/>
                <w:sz w:val="28"/>
                <w:szCs w:val="28"/>
              </w:rPr>
              <w:t>：乡村振兴网络升级工程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5" w:type="dxa"/>
          </w:tcPr>
          <w:p>
            <w:pPr>
              <w:ind w:firstLine="562" w:firstLineChars="200"/>
              <w:rPr>
                <w:rFonts w:ascii="楷体" w:hAnsi="楷体" w:eastAsia="楷体" w:cs="楷体"/>
                <w:sz w:val="28"/>
                <w:szCs w:val="28"/>
              </w:rPr>
            </w:pPr>
            <w:r>
              <w:rPr>
                <w:rFonts w:hint="eastAsia" w:ascii="楷体" w:hAnsi="楷体" w:eastAsia="楷体" w:cs="楷体"/>
                <w:b/>
                <w:sz w:val="28"/>
                <w:szCs w:val="28"/>
              </w:rPr>
              <w:t>建设目标：</w:t>
            </w:r>
            <w:r>
              <w:rPr>
                <w:rFonts w:hint="eastAsia" w:ascii="楷体" w:hAnsi="楷体" w:eastAsia="楷体" w:cs="楷体"/>
                <w:bCs/>
                <w:sz w:val="28"/>
                <w:szCs w:val="28"/>
              </w:rPr>
              <w:t>到2</w:t>
            </w:r>
            <w:r>
              <w:rPr>
                <w:rFonts w:ascii="楷体" w:hAnsi="楷体" w:eastAsia="楷体" w:cs="楷体"/>
                <w:bCs/>
                <w:sz w:val="28"/>
                <w:szCs w:val="28"/>
              </w:rPr>
              <w:t>025</w:t>
            </w:r>
            <w:r>
              <w:rPr>
                <w:rFonts w:hint="eastAsia" w:ascii="楷体" w:hAnsi="楷体" w:eastAsia="楷体" w:cs="楷体"/>
                <w:bCs/>
                <w:sz w:val="28"/>
                <w:szCs w:val="28"/>
              </w:rPr>
              <w:t>年，</w:t>
            </w:r>
            <w:r>
              <w:rPr>
                <w:rFonts w:hint="eastAsia" w:ascii="楷体" w:hAnsi="楷体" w:eastAsia="楷体" w:cs="楷体"/>
                <w:color w:val="000000" w:themeColor="text1"/>
                <w:sz w:val="28"/>
                <w:szCs w:val="28"/>
                <w14:textFill>
                  <w14:solidFill>
                    <w14:schemeClr w14:val="tx1"/>
                  </w14:solidFill>
                </w14:textFill>
              </w:rPr>
              <w:t>行政村</w:t>
            </w:r>
            <w:r>
              <w:rPr>
                <w:rFonts w:ascii="楷体" w:hAnsi="楷体" w:eastAsia="楷体" w:cs="楷体"/>
                <w:color w:val="000000" w:themeColor="text1"/>
                <w:sz w:val="28"/>
                <w:szCs w:val="28"/>
                <w14:textFill>
                  <w14:solidFill>
                    <w14:schemeClr w14:val="tx1"/>
                  </w14:solidFill>
                </w14:textFill>
              </w:rPr>
              <w:t>5G</w:t>
            </w:r>
            <w:r>
              <w:rPr>
                <w:rFonts w:hint="eastAsia" w:ascii="楷体" w:hAnsi="楷体" w:eastAsia="楷体" w:cs="楷体"/>
                <w:color w:val="000000" w:themeColor="text1"/>
                <w:sz w:val="28"/>
                <w:szCs w:val="28"/>
                <w14:textFill>
                  <w14:solidFill>
                    <w14:schemeClr w14:val="tx1"/>
                  </w14:solidFill>
                </w14:textFill>
              </w:rPr>
              <w:t>覆盖率和千兆光纤通达率均达到</w:t>
            </w:r>
            <w:r>
              <w:rPr>
                <w:rFonts w:ascii="楷体" w:hAnsi="楷体" w:eastAsia="楷体" w:cs="楷体"/>
                <w:color w:val="000000" w:themeColor="text1"/>
                <w:sz w:val="28"/>
                <w:szCs w:val="28"/>
                <w14:textFill>
                  <w14:solidFill>
                    <w14:schemeClr w14:val="tx1"/>
                  </w14:solidFill>
                </w14:textFill>
              </w:rPr>
              <w:t>80%</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bCs/>
                <w:sz w:val="28"/>
                <w:szCs w:val="28"/>
              </w:rPr>
              <w:t>4</w:t>
            </w:r>
            <w:r>
              <w:rPr>
                <w:rFonts w:ascii="楷体" w:hAnsi="楷体" w:eastAsia="楷体" w:cs="楷体"/>
                <w:bCs/>
                <w:sz w:val="28"/>
                <w:szCs w:val="28"/>
              </w:rPr>
              <w:t>G</w:t>
            </w:r>
            <w:r>
              <w:rPr>
                <w:rFonts w:hint="eastAsia" w:ascii="楷体" w:hAnsi="楷体" w:eastAsia="楷体" w:cs="楷体"/>
                <w:bCs/>
                <w:sz w:val="28"/>
                <w:szCs w:val="28"/>
              </w:rPr>
              <w:t>和光纤</w:t>
            </w:r>
            <w:r>
              <w:rPr>
                <w:rFonts w:hint="eastAsia" w:ascii="楷体" w:hAnsi="楷体" w:eastAsia="楷体" w:cs="楷体"/>
                <w:bCs/>
                <w:sz w:val="28"/>
                <w:szCs w:val="28"/>
                <w:lang w:eastAsia="zh-CN"/>
              </w:rPr>
              <w:t>网络</w:t>
            </w:r>
            <w:r>
              <w:rPr>
                <w:rFonts w:hint="eastAsia" w:ascii="楷体" w:hAnsi="楷体" w:eastAsia="楷体" w:cs="楷体"/>
                <w:bCs/>
                <w:sz w:val="28"/>
                <w:szCs w:val="28"/>
              </w:rPr>
              <w:t>进一步向自然村延伸覆盖。</w:t>
            </w:r>
          </w:p>
          <w:p>
            <w:pPr>
              <w:widowControl/>
              <w:ind w:firstLine="562" w:firstLineChars="200"/>
              <w:jc w:val="left"/>
              <w:rPr>
                <w:rFonts w:ascii="楷体" w:hAnsi="楷体" w:eastAsia="楷体" w:cs="楷体"/>
                <w:sz w:val="28"/>
                <w:szCs w:val="28"/>
              </w:rPr>
            </w:pPr>
            <w:r>
              <w:rPr>
                <w:rFonts w:hint="eastAsia" w:ascii="楷体" w:hAnsi="楷体" w:eastAsia="楷体" w:cs="楷体"/>
                <w:b/>
                <w:sz w:val="28"/>
                <w:szCs w:val="28"/>
              </w:rPr>
              <w:t>建设内容</w:t>
            </w:r>
            <w:r>
              <w:rPr>
                <w:rFonts w:hint="eastAsia" w:ascii="楷体" w:hAnsi="楷体" w:eastAsia="楷体" w:cs="楷体"/>
                <w:sz w:val="28"/>
                <w:szCs w:val="28"/>
              </w:rPr>
              <w:t>：一是加快</w:t>
            </w:r>
            <w:r>
              <w:rPr>
                <w:rFonts w:ascii="楷体" w:hAnsi="楷体" w:eastAsia="楷体" w:cs="楷体"/>
                <w:sz w:val="28"/>
                <w:szCs w:val="28"/>
              </w:rPr>
              <w:t>农村地区接入</w:t>
            </w:r>
            <w:r>
              <w:rPr>
                <w:rFonts w:hint="eastAsia" w:ascii="楷体" w:hAnsi="楷体" w:eastAsia="楷体" w:cs="楷体"/>
                <w:sz w:val="28"/>
                <w:szCs w:val="28"/>
              </w:rPr>
              <w:t>段</w:t>
            </w:r>
            <w:r>
              <w:rPr>
                <w:rFonts w:ascii="楷体" w:hAnsi="楷体" w:eastAsia="楷体" w:cs="楷体"/>
                <w:sz w:val="28"/>
                <w:szCs w:val="28"/>
              </w:rPr>
              <w:t>光缆、传输设备及机房、</w:t>
            </w:r>
            <w:r>
              <w:rPr>
                <w:rFonts w:hint="eastAsia" w:ascii="楷体" w:hAnsi="楷体" w:eastAsia="楷体" w:cs="楷体"/>
                <w:sz w:val="28"/>
                <w:szCs w:val="28"/>
              </w:rPr>
              <w:t>杆塔</w:t>
            </w:r>
            <w:r>
              <w:rPr>
                <w:rFonts w:ascii="楷体" w:hAnsi="楷体" w:eastAsia="楷体" w:cs="楷体"/>
                <w:sz w:val="28"/>
                <w:szCs w:val="28"/>
              </w:rPr>
              <w:t>、</w:t>
            </w:r>
            <w:r>
              <w:rPr>
                <w:rFonts w:hint="eastAsia" w:ascii="楷体" w:hAnsi="楷体" w:eastAsia="楷体" w:cs="楷体"/>
                <w:sz w:val="28"/>
                <w:szCs w:val="28"/>
              </w:rPr>
              <w:t>电力</w:t>
            </w:r>
            <w:r>
              <w:rPr>
                <w:rFonts w:ascii="楷体" w:hAnsi="楷体" w:eastAsia="楷体" w:cs="楷体"/>
                <w:sz w:val="28"/>
                <w:szCs w:val="28"/>
              </w:rPr>
              <w:t>等配套设施建设</w:t>
            </w:r>
            <w:r>
              <w:rPr>
                <w:rFonts w:hint="eastAsia" w:ascii="楷体" w:hAnsi="楷体" w:eastAsia="楷体" w:cs="楷体"/>
                <w:sz w:val="28"/>
                <w:szCs w:val="28"/>
              </w:rPr>
              <w:t>；二是4</w:t>
            </w:r>
            <w:r>
              <w:rPr>
                <w:rFonts w:ascii="楷体" w:hAnsi="楷体" w:eastAsia="楷体" w:cs="楷体"/>
                <w:sz w:val="28"/>
                <w:szCs w:val="28"/>
              </w:rPr>
              <w:t>G</w:t>
            </w:r>
            <w:r>
              <w:rPr>
                <w:rFonts w:hint="eastAsia" w:ascii="楷体" w:hAnsi="楷体" w:eastAsia="楷体" w:cs="楷体"/>
                <w:sz w:val="28"/>
                <w:szCs w:val="28"/>
              </w:rPr>
              <w:t>和光纤网络</w:t>
            </w:r>
            <w:r>
              <w:rPr>
                <w:rFonts w:hint="eastAsia" w:ascii="楷体" w:hAnsi="楷体" w:eastAsia="楷体" w:cs="楷体"/>
                <w:sz w:val="28"/>
                <w:szCs w:val="28"/>
                <w:lang w:eastAsia="zh-CN"/>
              </w:rPr>
              <w:t>向农牧作业区、</w:t>
            </w:r>
            <w:r>
              <w:rPr>
                <w:rFonts w:hint="eastAsia" w:ascii="楷体" w:hAnsi="楷体" w:eastAsia="楷体" w:cs="楷体"/>
                <w:sz w:val="28"/>
                <w:szCs w:val="28"/>
                <w:lang w:val="en-US" w:eastAsia="zh-CN"/>
              </w:rPr>
              <w:t>20户以上的村民小组、灾害多发区</w:t>
            </w:r>
            <w:r>
              <w:rPr>
                <w:rFonts w:hint="eastAsia" w:ascii="楷体" w:hAnsi="楷体" w:eastAsia="楷体" w:cs="楷体"/>
                <w:sz w:val="28"/>
                <w:szCs w:val="28"/>
                <w:lang w:eastAsia="zh-CN"/>
              </w:rPr>
              <w:t>等区域进一步延伸覆盖</w:t>
            </w:r>
            <w:r>
              <w:rPr>
                <w:rFonts w:hint="eastAsia" w:ascii="楷体" w:hAnsi="楷体" w:eastAsia="楷体" w:cs="楷体"/>
                <w:sz w:val="28"/>
                <w:szCs w:val="28"/>
              </w:rPr>
              <w:t>；三是优先支持配套政策落实到位的农村地区开展5G建设，</w:t>
            </w:r>
            <w:r>
              <w:rPr>
                <w:rFonts w:ascii="楷体" w:hAnsi="楷体" w:eastAsia="楷体" w:cs="楷体"/>
                <w:sz w:val="28"/>
                <w:szCs w:val="28"/>
              </w:rPr>
              <w:t>保障有应用需求</w:t>
            </w:r>
            <w:r>
              <w:rPr>
                <w:rFonts w:hint="eastAsia" w:ascii="楷体" w:hAnsi="楷体" w:eastAsia="楷体" w:cs="楷体"/>
                <w:sz w:val="28"/>
                <w:szCs w:val="28"/>
              </w:rPr>
              <w:t>有条件</w:t>
            </w:r>
            <w:r>
              <w:rPr>
                <w:rFonts w:ascii="楷体" w:hAnsi="楷体" w:eastAsia="楷体" w:cs="楷体"/>
                <w:sz w:val="28"/>
                <w:szCs w:val="28"/>
              </w:rPr>
              <w:t>的</w:t>
            </w:r>
            <w:r>
              <w:rPr>
                <w:rFonts w:hint="eastAsia" w:ascii="楷体" w:hAnsi="楷体" w:eastAsia="楷体" w:cs="楷体"/>
                <w:sz w:val="28"/>
                <w:szCs w:val="28"/>
              </w:rPr>
              <w:t>农村地区实现5G覆盖和千兆光纤接入，</w:t>
            </w:r>
            <w:r>
              <w:rPr>
                <w:rFonts w:ascii="楷体" w:hAnsi="楷体" w:eastAsia="楷体" w:cs="楷体"/>
                <w:sz w:val="28"/>
                <w:szCs w:val="28"/>
              </w:rPr>
              <w:t>确保</w:t>
            </w:r>
            <w:r>
              <w:rPr>
                <w:rFonts w:hint="eastAsia" w:ascii="楷体" w:hAnsi="楷体" w:eastAsia="楷体" w:cs="楷体"/>
                <w:sz w:val="28"/>
                <w:szCs w:val="28"/>
              </w:rPr>
              <w:t>智慧</w:t>
            </w:r>
            <w:r>
              <w:rPr>
                <w:rFonts w:ascii="楷体" w:hAnsi="楷体" w:eastAsia="楷体" w:cs="楷体"/>
                <w:sz w:val="28"/>
                <w:szCs w:val="28"/>
              </w:rPr>
              <w:t>农业、远程教育、远程医疗</w:t>
            </w:r>
            <w:r>
              <w:rPr>
                <w:rFonts w:hint="eastAsia" w:ascii="楷体" w:hAnsi="楷体" w:eastAsia="楷体" w:cs="楷体"/>
                <w:sz w:val="28"/>
                <w:szCs w:val="28"/>
              </w:rPr>
              <w:t>应用需求；四是鼓励基础电信企业以</w:t>
            </w:r>
            <w:r>
              <w:rPr>
                <w:rFonts w:ascii="楷体" w:hAnsi="楷体" w:eastAsia="楷体" w:cs="楷体"/>
                <w:sz w:val="28"/>
                <w:szCs w:val="28"/>
              </w:rPr>
              <w:t>互惠互利原则开展</w:t>
            </w:r>
            <w:r>
              <w:rPr>
                <w:rFonts w:hint="eastAsia" w:ascii="楷体" w:hAnsi="楷体" w:eastAsia="楷体" w:cs="楷体"/>
                <w:sz w:val="28"/>
                <w:szCs w:val="28"/>
              </w:rPr>
              <w:t>无线接入</w:t>
            </w:r>
            <w:r>
              <w:rPr>
                <w:rFonts w:ascii="楷体" w:hAnsi="楷体" w:eastAsia="楷体" w:cs="楷体"/>
                <w:sz w:val="28"/>
                <w:szCs w:val="28"/>
              </w:rPr>
              <w:t>网共建共享和异网漫游</w:t>
            </w:r>
            <w:r>
              <w:rPr>
                <w:rFonts w:hint="eastAsia" w:ascii="楷体" w:hAnsi="楷体" w:eastAsia="楷体" w:cs="楷体"/>
                <w:sz w:val="28"/>
                <w:szCs w:val="28"/>
              </w:rPr>
              <w:t>，打造偏远地区一网托底的网络格局。</w:t>
            </w:r>
          </w:p>
        </w:tc>
      </w:tr>
    </w:tbl>
    <w:p>
      <w:pPr>
        <w:spacing w:line="360" w:lineRule="auto"/>
        <w:ind w:firstLine="643" w:firstLineChars="200"/>
        <w:outlineLvl w:val="9"/>
        <w:rPr>
          <w:rFonts w:ascii="仿宋" w:hAnsi="仿宋" w:eastAsia="仿宋_GB2312" w:cs="仿宋"/>
          <w:b/>
          <w:bCs/>
          <w:sz w:val="32"/>
          <w:szCs w:val="32"/>
        </w:rPr>
      </w:pPr>
      <w:r>
        <w:rPr>
          <w:rFonts w:hint="eastAsia" w:ascii="仿宋" w:hAnsi="仿宋" w:eastAsia="仿宋_GB2312" w:cs="仿宋"/>
          <w:b/>
          <w:bCs/>
          <w:sz w:val="32"/>
          <w:szCs w:val="32"/>
        </w:rPr>
        <w:t>2.</w:t>
      </w:r>
      <w:r>
        <w:rPr>
          <w:rFonts w:hint="eastAsia" w:ascii="仿宋" w:hAnsi="仿宋" w:eastAsia="仿宋_GB2312" w:cs="仿宋"/>
          <w:b/>
          <w:bCs/>
          <w:color w:val="000000" w:themeColor="text1"/>
          <w:sz w:val="32"/>
          <w:szCs w:val="32"/>
          <w14:textFill>
            <w14:solidFill>
              <w14:schemeClr w14:val="tx1"/>
            </w14:solidFill>
          </w14:textFill>
        </w:rPr>
        <w:t>统筹部署</w:t>
      </w:r>
      <w:r>
        <w:rPr>
          <w:rFonts w:hint="eastAsia" w:ascii="仿宋" w:hAnsi="仿宋" w:eastAsia="仿宋_GB2312" w:cs="仿宋"/>
          <w:b/>
          <w:bCs/>
          <w:sz w:val="32"/>
          <w:szCs w:val="32"/>
        </w:rPr>
        <w:t>智能计算基础设施</w:t>
      </w:r>
    </w:p>
    <w:p>
      <w:p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推进数据中心一体化建设。</w:t>
      </w:r>
      <w:r>
        <w:rPr>
          <w:rFonts w:hint="eastAsia" w:ascii="仿宋" w:hAnsi="仿宋" w:eastAsia="仿宋_GB2312" w:cs="仿宋"/>
          <w:sz w:val="32"/>
          <w:szCs w:val="32"/>
        </w:rPr>
        <w:t>立足国家、</w:t>
      </w:r>
      <w:r>
        <w:rPr>
          <w:rFonts w:hint="eastAsia" w:ascii="仿宋" w:hAnsi="仿宋" w:eastAsia="仿宋_GB2312" w:cs="仿宋"/>
          <w:sz w:val="32"/>
          <w:szCs w:val="32"/>
          <w:lang w:eastAsia="zh-CN"/>
        </w:rPr>
        <w:t>省</w:t>
      </w:r>
      <w:r>
        <w:rPr>
          <w:rFonts w:hint="eastAsia" w:ascii="仿宋" w:hAnsi="仿宋" w:eastAsia="仿宋_GB2312" w:cs="仿宋"/>
          <w:sz w:val="32"/>
          <w:szCs w:val="32"/>
        </w:rPr>
        <w:t>数据中心</w:t>
      </w:r>
      <w:r>
        <w:rPr>
          <w:rFonts w:ascii="仿宋" w:hAnsi="仿宋" w:eastAsia="仿宋_GB2312" w:cs="仿宋"/>
          <w:sz w:val="32"/>
          <w:szCs w:val="32"/>
        </w:rPr>
        <w:t>发展</w:t>
      </w:r>
      <w:r>
        <w:rPr>
          <w:rFonts w:hint="eastAsia" w:ascii="仿宋" w:hAnsi="仿宋" w:eastAsia="仿宋_GB2312" w:cs="仿宋"/>
          <w:sz w:val="32"/>
          <w:szCs w:val="32"/>
        </w:rPr>
        <w:t>战略，从全局进行顶层设计，做好空间、规模、资源的统筹谋划</w:t>
      </w:r>
      <w:r>
        <w:rPr>
          <w:rFonts w:hint="eastAsia" w:ascii="仿宋" w:hAnsi="仿宋" w:eastAsia="仿宋_GB2312" w:cs="仿宋"/>
          <w:sz w:val="32"/>
          <w:szCs w:val="32"/>
          <w:lang w:eastAsia="zh-CN"/>
        </w:rPr>
        <w:t>，</w:t>
      </w:r>
      <w:r>
        <w:rPr>
          <w:rFonts w:hint="eastAsia" w:ascii="仿宋" w:hAnsi="仿宋" w:eastAsia="仿宋_GB2312" w:cs="仿宋"/>
          <w:sz w:val="32"/>
          <w:szCs w:val="32"/>
        </w:rPr>
        <w:t>实现算力基础设施布局合理化、规模适度化、建设有序化、绿色集约化的发展新格局。</w:t>
      </w:r>
      <w:r>
        <w:rPr>
          <w:rFonts w:hint="eastAsia" w:ascii="仿宋" w:hAnsi="仿宋" w:eastAsia="仿宋_GB2312" w:cs="仿宋"/>
          <w:color w:val="000000" w:themeColor="text1"/>
          <w:sz w:val="32"/>
          <w:szCs w:val="32"/>
          <w14:textFill>
            <w14:solidFill>
              <w14:schemeClr w14:val="tx1"/>
            </w14:solidFill>
          </w14:textFill>
        </w:rPr>
        <w:t>充分发挥现有数据中心功能，提升数据中心整体利用率，</w:t>
      </w:r>
      <w:r>
        <w:rPr>
          <w:rFonts w:hint="eastAsia" w:ascii="仿宋" w:hAnsi="仿宋" w:eastAsia="仿宋_GB2312" w:cs="仿宋"/>
          <w:sz w:val="32"/>
          <w:szCs w:val="32"/>
        </w:rPr>
        <w:t>需求牵引，因地制宜，结合区域定位、城市发展、产业布局等因素，鼓励数据中心提供差异化、特色化服务。</w:t>
      </w:r>
      <w:r>
        <w:rPr>
          <w:rFonts w:hint="eastAsia" w:ascii="仿宋" w:hAnsi="仿宋" w:eastAsia="仿宋_GB2312" w:cs="仿宋"/>
          <w:color w:val="000000" w:themeColor="text1"/>
          <w:sz w:val="32"/>
          <w:szCs w:val="32"/>
          <w14:textFill>
            <w14:solidFill>
              <w14:schemeClr w14:val="tx1"/>
            </w14:solidFill>
          </w14:textFill>
        </w:rPr>
        <w:t>绿色节能水平不断提高，新</w:t>
      </w:r>
      <w:r>
        <w:rPr>
          <w:rFonts w:hint="eastAsia" w:ascii="仿宋" w:hAnsi="仿宋" w:eastAsia="仿宋_GB2312" w:cs="仿宋"/>
          <w:iCs/>
          <w:color w:val="000000" w:themeColor="text1"/>
          <w:sz w:val="32"/>
          <w:szCs w:val="32"/>
          <w14:textFill>
            <w14:solidFill>
              <w14:schemeClr w14:val="tx1"/>
            </w14:solidFill>
          </w14:textFill>
        </w:rPr>
        <w:t>建大型和超大型数据中心PUE值普遍优于1.</w:t>
      </w:r>
      <w:r>
        <w:rPr>
          <w:rFonts w:ascii="仿宋" w:hAnsi="仿宋" w:eastAsia="仿宋_GB2312" w:cs="仿宋"/>
          <w:iCs/>
          <w:color w:val="000000" w:themeColor="text1"/>
          <w:sz w:val="32"/>
          <w:szCs w:val="32"/>
          <w14:textFill>
            <w14:solidFill>
              <w14:schemeClr w14:val="tx1"/>
            </w14:solidFill>
          </w14:textFill>
        </w:rPr>
        <w:t>3</w:t>
      </w:r>
      <w:r>
        <w:rPr>
          <w:rFonts w:hint="eastAsia" w:ascii="仿宋" w:hAnsi="仿宋" w:eastAsia="仿宋_GB2312" w:cs="仿宋"/>
          <w:iCs/>
          <w:color w:val="000000" w:themeColor="text1"/>
          <w:sz w:val="32"/>
          <w:szCs w:val="32"/>
          <w14:textFill>
            <w14:solidFill>
              <w14:schemeClr w14:val="tx1"/>
            </w14:solidFill>
          </w14:textFill>
        </w:rPr>
        <w:t>5</w:t>
      </w:r>
      <w:r>
        <w:rPr>
          <w:rFonts w:hint="eastAsia" w:ascii="仿宋" w:hAnsi="仿宋" w:eastAsia="仿宋_GB2312" w:cs="仿宋"/>
          <w:iCs/>
          <w:color w:val="000000" w:themeColor="text1"/>
          <w:sz w:val="32"/>
          <w:szCs w:val="32"/>
          <w:lang w:eastAsia="zh-CN"/>
          <w14:textFill>
            <w14:solidFill>
              <w14:schemeClr w14:val="tx1"/>
            </w14:solidFill>
          </w14:textFill>
        </w:rPr>
        <w:t>，</w:t>
      </w:r>
      <w:r>
        <w:rPr>
          <w:rFonts w:hint="eastAsia" w:ascii="仿宋" w:hAnsi="仿宋" w:eastAsia="仿宋_GB2312" w:cs="仿宋"/>
          <w:color w:val="000000" w:themeColor="text1"/>
          <w:sz w:val="32"/>
          <w:szCs w:val="32"/>
          <w:lang w:eastAsia="zh-CN"/>
          <w14:textFill>
            <w14:solidFill>
              <w14:schemeClr w14:val="tx1"/>
            </w14:solidFill>
          </w14:textFill>
        </w:rPr>
        <w:t>大力推进在运营的高能耗老旧数据中心开展节能改造，力争在运营数据中心</w:t>
      </w:r>
      <w:r>
        <w:rPr>
          <w:rFonts w:hint="eastAsia" w:ascii="仿宋" w:hAnsi="仿宋" w:eastAsia="仿宋_GB2312" w:cs="仿宋"/>
          <w:color w:val="000000" w:themeColor="text1"/>
          <w:sz w:val="32"/>
          <w:szCs w:val="32"/>
          <w:lang w:val="en-US" w:eastAsia="zh-CN"/>
          <w14:textFill>
            <w14:solidFill>
              <w14:schemeClr w14:val="tx1"/>
            </w14:solidFill>
          </w14:textFill>
        </w:rPr>
        <w:t>PUE值优于1.55</w:t>
      </w:r>
      <w:r>
        <w:rPr>
          <w:rFonts w:hint="eastAsia" w:ascii="仿宋" w:hAnsi="仿宋" w:eastAsia="仿宋_GB2312" w:cs="仿宋"/>
          <w:iCs/>
          <w:color w:val="000000" w:themeColor="text1"/>
          <w:sz w:val="32"/>
          <w:szCs w:val="32"/>
          <w14:textFill>
            <w14:solidFill>
              <w14:schemeClr w14:val="tx1"/>
            </w14:solidFill>
          </w14:textFill>
        </w:rPr>
        <w:t>。</w:t>
      </w:r>
    </w:p>
    <w:p>
      <w:pPr>
        <w:spacing w:line="360" w:lineRule="auto"/>
        <w:ind w:firstLine="643" w:firstLineChars="200"/>
        <w:rPr>
          <w:rFonts w:ascii="仿宋" w:hAnsi="仿宋" w:eastAsia="仿宋" w:cs="仿宋"/>
          <w:sz w:val="32"/>
          <w:szCs w:val="32"/>
        </w:rPr>
      </w:pPr>
      <w:r>
        <w:rPr>
          <w:rFonts w:hint="eastAsia" w:ascii="仿宋" w:hAnsi="仿宋" w:eastAsia="仿宋_GB2312" w:cs="仿宋"/>
          <w:b/>
          <w:bCs/>
          <w:color w:val="000000" w:themeColor="text1"/>
          <w:sz w:val="32"/>
          <w:szCs w:val="32"/>
          <w14:textFill>
            <w14:solidFill>
              <w14:schemeClr w14:val="tx1"/>
            </w14:solidFill>
          </w14:textFill>
        </w:rPr>
        <w:t>构建智能化</w:t>
      </w:r>
      <w:r>
        <w:rPr>
          <w:rFonts w:ascii="仿宋" w:hAnsi="仿宋" w:eastAsia="仿宋_GB2312" w:cs="仿宋"/>
          <w:b/>
          <w:bCs/>
          <w:color w:val="000000" w:themeColor="text1"/>
          <w:sz w:val="32"/>
          <w:szCs w:val="32"/>
          <w14:textFill>
            <w14:solidFill>
              <w14:schemeClr w14:val="tx1"/>
            </w14:solidFill>
          </w14:textFill>
        </w:rPr>
        <w:t>云计算</w:t>
      </w:r>
      <w:r>
        <w:rPr>
          <w:rFonts w:hint="eastAsia" w:ascii="仿宋" w:hAnsi="仿宋" w:eastAsia="仿宋_GB2312" w:cs="仿宋"/>
          <w:b/>
          <w:bCs/>
          <w:color w:val="000000" w:themeColor="text1"/>
          <w:sz w:val="32"/>
          <w:szCs w:val="32"/>
          <w14:textFill>
            <w14:solidFill>
              <w14:schemeClr w14:val="tx1"/>
            </w14:solidFill>
          </w14:textFill>
        </w:rPr>
        <w:t>新底座</w:t>
      </w:r>
      <w:r>
        <w:rPr>
          <w:rFonts w:hint="eastAsia" w:ascii="仿宋" w:hAnsi="仿宋" w:eastAsia="仿宋_GB2312" w:cs="仿宋"/>
          <w:b/>
          <w:bCs/>
          <w:sz w:val="32"/>
          <w:szCs w:val="32"/>
        </w:rPr>
        <w:t>。</w:t>
      </w:r>
      <w:r>
        <w:rPr>
          <w:rFonts w:hint="eastAsia" w:ascii="仿宋" w:hAnsi="仿宋" w:eastAsia="仿宋_GB2312" w:cs="仿宋"/>
          <w:iCs/>
          <w:color w:val="000000" w:themeColor="text1"/>
          <w:sz w:val="32"/>
          <w:szCs w:val="32"/>
          <w14:textFill>
            <w14:solidFill>
              <w14:schemeClr w14:val="tx1"/>
            </w14:solidFill>
          </w14:textFill>
        </w:rPr>
        <w:t>聚焦</w:t>
      </w:r>
      <w:r>
        <w:rPr>
          <w:rFonts w:ascii="仿宋" w:hAnsi="仿宋" w:eastAsia="仿宋_GB2312" w:cs="仿宋"/>
          <w:iCs/>
          <w:color w:val="000000" w:themeColor="text1"/>
          <w:sz w:val="32"/>
          <w:szCs w:val="32"/>
          <w14:textFill>
            <w14:solidFill>
              <w14:schemeClr w14:val="tx1"/>
            </w14:solidFill>
          </w14:textFill>
        </w:rPr>
        <w:t>打造云网融合、安全可控、</w:t>
      </w:r>
      <w:r>
        <w:rPr>
          <w:rFonts w:hint="eastAsia" w:ascii="仿宋" w:hAnsi="仿宋" w:eastAsia="仿宋_GB2312" w:cs="仿宋"/>
          <w:iCs/>
          <w:color w:val="000000" w:themeColor="text1"/>
          <w:sz w:val="32"/>
          <w:szCs w:val="32"/>
          <w14:textFill>
            <w14:solidFill>
              <w14:schemeClr w14:val="tx1"/>
            </w14:solidFill>
          </w14:textFill>
        </w:rPr>
        <w:t>多元异构</w:t>
      </w:r>
      <w:r>
        <w:rPr>
          <w:rFonts w:ascii="仿宋" w:hAnsi="仿宋" w:eastAsia="仿宋_GB2312" w:cs="仿宋"/>
          <w:iCs/>
          <w:color w:val="000000" w:themeColor="text1"/>
          <w:sz w:val="32"/>
          <w:szCs w:val="32"/>
          <w14:textFill>
            <w14:solidFill>
              <w14:schemeClr w14:val="tx1"/>
            </w14:solidFill>
          </w14:textFill>
        </w:rPr>
        <w:t>的</w:t>
      </w:r>
      <w:r>
        <w:rPr>
          <w:rFonts w:hint="eastAsia" w:ascii="仿宋" w:hAnsi="仿宋" w:eastAsia="仿宋_GB2312" w:cs="仿宋"/>
          <w:iCs/>
          <w:color w:val="000000" w:themeColor="text1"/>
          <w:sz w:val="32"/>
          <w:szCs w:val="32"/>
          <w14:textFill>
            <w14:solidFill>
              <w14:schemeClr w14:val="tx1"/>
            </w14:solidFill>
          </w14:textFill>
        </w:rPr>
        <w:t>云计算</w:t>
      </w:r>
      <w:r>
        <w:rPr>
          <w:rFonts w:ascii="仿宋" w:hAnsi="仿宋" w:eastAsia="仿宋_GB2312" w:cs="仿宋"/>
          <w:iCs/>
          <w:color w:val="000000" w:themeColor="text1"/>
          <w:sz w:val="32"/>
          <w:szCs w:val="32"/>
          <w14:textFill>
            <w14:solidFill>
              <w14:schemeClr w14:val="tx1"/>
            </w14:solidFill>
          </w14:textFill>
        </w:rPr>
        <w:t>底座</w:t>
      </w:r>
      <w:r>
        <w:rPr>
          <w:rFonts w:hint="eastAsia" w:ascii="仿宋" w:hAnsi="仿宋" w:eastAsia="仿宋_GB2312" w:cs="仿宋"/>
          <w:iCs/>
          <w:color w:val="000000" w:themeColor="text1"/>
          <w:sz w:val="32"/>
          <w:szCs w:val="32"/>
          <w14:textFill>
            <w14:solidFill>
              <w14:schemeClr w14:val="tx1"/>
            </w14:solidFill>
          </w14:textFill>
        </w:rPr>
        <w:t>。全面优化</w:t>
      </w:r>
      <w:r>
        <w:rPr>
          <w:rFonts w:ascii="仿宋" w:hAnsi="仿宋" w:eastAsia="仿宋_GB2312" w:cs="仿宋"/>
          <w:iCs/>
          <w:color w:val="000000" w:themeColor="text1"/>
          <w:sz w:val="32"/>
          <w:szCs w:val="32"/>
          <w14:textFill>
            <w14:solidFill>
              <w14:schemeClr w14:val="tx1"/>
            </w14:solidFill>
          </w14:textFill>
        </w:rPr>
        <w:t>计算</w:t>
      </w:r>
      <w:r>
        <w:rPr>
          <w:rFonts w:hint="eastAsia" w:ascii="仿宋" w:hAnsi="仿宋" w:eastAsia="仿宋_GB2312" w:cs="仿宋"/>
          <w:iCs/>
          <w:color w:val="000000" w:themeColor="text1"/>
          <w:sz w:val="32"/>
          <w:szCs w:val="32"/>
          <w14:textFill>
            <w14:solidFill>
              <w14:schemeClr w14:val="tx1"/>
            </w14:solidFill>
          </w14:textFill>
        </w:rPr>
        <w:t>、存储、网络服务</w:t>
      </w:r>
      <w:r>
        <w:rPr>
          <w:rFonts w:ascii="仿宋" w:hAnsi="仿宋" w:eastAsia="仿宋_GB2312" w:cs="仿宋"/>
          <w:iCs/>
          <w:color w:val="000000" w:themeColor="text1"/>
          <w:sz w:val="32"/>
          <w:szCs w:val="32"/>
          <w14:textFill>
            <w14:solidFill>
              <w14:schemeClr w14:val="tx1"/>
            </w14:solidFill>
          </w14:textFill>
        </w:rPr>
        <w:t>能力</w:t>
      </w:r>
      <w:r>
        <w:rPr>
          <w:rFonts w:hint="eastAsia" w:ascii="仿宋" w:hAnsi="仿宋" w:eastAsia="仿宋_GB2312" w:cs="仿宋"/>
          <w:iCs/>
          <w:color w:val="000000" w:themeColor="text1"/>
          <w:sz w:val="32"/>
          <w:szCs w:val="32"/>
          <w14:textFill>
            <w14:solidFill>
              <w14:schemeClr w14:val="tx1"/>
            </w14:solidFill>
          </w14:textFill>
        </w:rPr>
        <w:t>，</w:t>
      </w:r>
      <w:r>
        <w:rPr>
          <w:rFonts w:ascii="仿宋" w:hAnsi="仿宋" w:eastAsia="仿宋_GB2312" w:cs="仿宋"/>
          <w:iCs/>
          <w:color w:val="000000" w:themeColor="text1"/>
          <w:sz w:val="32"/>
          <w:szCs w:val="32"/>
          <w14:textFill>
            <w14:solidFill>
              <w14:schemeClr w14:val="tx1"/>
            </w14:solidFill>
          </w14:textFill>
        </w:rPr>
        <w:t>夯实云内原生安全能力。</w:t>
      </w:r>
      <w:r>
        <w:rPr>
          <w:rFonts w:hint="eastAsia" w:ascii="仿宋" w:hAnsi="仿宋" w:eastAsia="仿宋_GB2312" w:cs="仿宋"/>
          <w:iCs/>
          <w:color w:val="000000" w:themeColor="text1"/>
          <w:sz w:val="32"/>
          <w:szCs w:val="32"/>
          <w14:textFill>
            <w14:solidFill>
              <w14:schemeClr w14:val="tx1"/>
            </w14:solidFill>
          </w14:textFill>
        </w:rPr>
        <w:t>灵活适配</w:t>
      </w:r>
      <w:r>
        <w:rPr>
          <w:rFonts w:ascii="仿宋" w:hAnsi="仿宋" w:eastAsia="仿宋_GB2312" w:cs="仿宋"/>
          <w:iCs/>
          <w:color w:val="000000" w:themeColor="text1"/>
          <w:sz w:val="32"/>
          <w:szCs w:val="32"/>
          <w14:textFill>
            <w14:solidFill>
              <w14:schemeClr w14:val="tx1"/>
            </w14:solidFill>
          </w14:textFill>
        </w:rPr>
        <w:t>大数据</w:t>
      </w:r>
      <w:r>
        <w:rPr>
          <w:rFonts w:hint="eastAsia" w:ascii="仿宋" w:hAnsi="仿宋" w:eastAsia="仿宋_GB2312" w:cs="仿宋"/>
          <w:iCs/>
          <w:color w:val="000000" w:themeColor="text1"/>
          <w:sz w:val="32"/>
          <w:szCs w:val="32"/>
          <w14:textFill>
            <w14:solidFill>
              <w14:schemeClr w14:val="tx1"/>
            </w14:solidFill>
          </w14:textFill>
        </w:rPr>
        <w:t>、人工智能、物联网、工业互联网、区块链等</w:t>
      </w:r>
      <w:r>
        <w:rPr>
          <w:rFonts w:ascii="仿宋" w:hAnsi="仿宋" w:eastAsia="仿宋_GB2312" w:cs="仿宋"/>
          <w:iCs/>
          <w:color w:val="000000" w:themeColor="text1"/>
          <w:sz w:val="32"/>
          <w:szCs w:val="32"/>
          <w14:textFill>
            <w14:solidFill>
              <w14:schemeClr w14:val="tx1"/>
            </w14:solidFill>
          </w14:textFill>
        </w:rPr>
        <w:t>通用</w:t>
      </w:r>
      <w:r>
        <w:rPr>
          <w:rFonts w:hint="eastAsia" w:ascii="仿宋" w:hAnsi="仿宋" w:eastAsia="仿宋_GB2312" w:cs="仿宋"/>
          <w:iCs/>
          <w:color w:val="000000" w:themeColor="text1"/>
          <w:sz w:val="32"/>
          <w:szCs w:val="32"/>
          <w14:textFill>
            <w14:solidFill>
              <w14:schemeClr w14:val="tx1"/>
            </w14:solidFill>
          </w14:textFill>
        </w:rPr>
        <w:t>平台能力</w:t>
      </w:r>
      <w:r>
        <w:rPr>
          <w:rFonts w:ascii="仿宋" w:hAnsi="仿宋" w:eastAsia="仿宋_GB2312" w:cs="仿宋"/>
          <w:iCs/>
          <w:color w:val="000000" w:themeColor="text1"/>
          <w:sz w:val="32"/>
          <w:szCs w:val="32"/>
          <w14:textFill>
            <w14:solidFill>
              <w14:schemeClr w14:val="tx1"/>
            </w14:solidFill>
          </w14:textFill>
        </w:rPr>
        <w:t>，打造行业使能平台。</w:t>
      </w:r>
      <w:r>
        <w:rPr>
          <w:rFonts w:hint="eastAsia" w:ascii="仿宋" w:hAnsi="仿宋" w:eastAsia="仿宋_GB2312" w:cs="仿宋"/>
          <w:iCs/>
          <w:color w:val="000000" w:themeColor="text1"/>
          <w:sz w:val="32"/>
          <w:szCs w:val="32"/>
          <w14:textFill>
            <w14:solidFill>
              <w14:schemeClr w14:val="tx1"/>
            </w14:solidFill>
          </w14:textFill>
        </w:rPr>
        <w:t>构建</w:t>
      </w:r>
      <w:r>
        <w:rPr>
          <w:rFonts w:ascii="仿宋" w:hAnsi="仿宋" w:eastAsia="仿宋_GB2312" w:cs="仿宋"/>
          <w:iCs/>
          <w:color w:val="000000" w:themeColor="text1"/>
          <w:sz w:val="32"/>
          <w:szCs w:val="32"/>
          <w14:textFill>
            <w14:solidFill>
              <w14:schemeClr w14:val="tx1"/>
            </w14:solidFill>
          </w14:textFill>
        </w:rPr>
        <w:t>“</w:t>
      </w:r>
      <w:r>
        <w:rPr>
          <w:rFonts w:hint="eastAsia" w:ascii="仿宋" w:hAnsi="仿宋" w:eastAsia="仿宋_GB2312" w:cs="仿宋"/>
          <w:iCs/>
          <w:color w:val="000000" w:themeColor="text1"/>
          <w:sz w:val="32"/>
          <w:szCs w:val="32"/>
          <w14:textFill>
            <w14:solidFill>
              <w14:schemeClr w14:val="tx1"/>
            </w14:solidFill>
          </w14:textFill>
        </w:rPr>
        <w:t>中心云</w:t>
      </w:r>
      <w:r>
        <w:rPr>
          <w:rFonts w:ascii="仿宋" w:hAnsi="仿宋" w:eastAsia="仿宋_GB2312" w:cs="仿宋"/>
          <w:iCs/>
          <w:color w:val="000000" w:themeColor="text1"/>
          <w:sz w:val="32"/>
          <w:szCs w:val="32"/>
          <w14:textFill>
            <w14:solidFill>
              <w14:schemeClr w14:val="tx1"/>
            </w14:solidFill>
          </w14:textFill>
        </w:rPr>
        <w:t>-</w:t>
      </w:r>
      <w:r>
        <w:rPr>
          <w:rFonts w:hint="eastAsia" w:ascii="仿宋" w:hAnsi="仿宋" w:eastAsia="仿宋_GB2312" w:cs="仿宋"/>
          <w:iCs/>
          <w:color w:val="000000" w:themeColor="text1"/>
          <w:sz w:val="32"/>
          <w:szCs w:val="32"/>
          <w14:textFill>
            <w14:solidFill>
              <w14:schemeClr w14:val="tx1"/>
            </w14:solidFill>
          </w14:textFill>
        </w:rPr>
        <w:t>边缘云</w:t>
      </w:r>
      <w:r>
        <w:rPr>
          <w:rFonts w:ascii="仿宋" w:hAnsi="仿宋" w:eastAsia="仿宋_GB2312" w:cs="仿宋"/>
          <w:iCs/>
          <w:color w:val="000000" w:themeColor="text1"/>
          <w:sz w:val="32"/>
          <w:szCs w:val="32"/>
          <w14:textFill>
            <w14:solidFill>
              <w14:schemeClr w14:val="tx1"/>
            </w14:solidFill>
          </w14:textFill>
        </w:rPr>
        <w:t>”</w:t>
      </w:r>
      <w:r>
        <w:rPr>
          <w:rFonts w:hint="eastAsia" w:ascii="仿宋" w:hAnsi="仿宋" w:eastAsia="仿宋_GB2312" w:cs="仿宋"/>
          <w:iCs/>
          <w:color w:val="000000" w:themeColor="text1"/>
          <w:sz w:val="32"/>
          <w:szCs w:val="32"/>
          <w14:textFill>
            <w14:solidFill>
              <w14:schemeClr w14:val="tx1"/>
            </w14:solidFill>
          </w14:textFill>
        </w:rPr>
        <w:t>的分布式云架构，</w:t>
      </w:r>
      <w:r>
        <w:rPr>
          <w:rFonts w:ascii="仿宋" w:hAnsi="仿宋" w:eastAsia="仿宋_GB2312" w:cs="仿宋"/>
          <w:iCs/>
          <w:color w:val="000000" w:themeColor="text1"/>
          <w:sz w:val="32"/>
          <w:szCs w:val="32"/>
          <w14:textFill>
            <w14:solidFill>
              <w14:schemeClr w14:val="tx1"/>
            </w14:solidFill>
          </w14:textFill>
        </w:rPr>
        <w:t>结合5G应用发展及业务场景需求，按需规划建设MEC、边缘CDN</w:t>
      </w:r>
      <w:r>
        <w:rPr>
          <w:rFonts w:hint="eastAsia" w:ascii="仿宋" w:hAnsi="仿宋" w:eastAsia="仿宋_GB2312" w:cs="仿宋"/>
          <w:iCs/>
          <w:color w:val="000000" w:themeColor="text1"/>
          <w:sz w:val="32"/>
          <w:szCs w:val="32"/>
          <w14:textFill>
            <w14:solidFill>
              <w14:schemeClr w14:val="tx1"/>
            </w14:solidFill>
          </w14:textFill>
        </w:rPr>
        <w:t>、车联网节点等边缘计算设施</w:t>
      </w:r>
      <w:r>
        <w:rPr>
          <w:rFonts w:ascii="仿宋" w:hAnsi="仿宋" w:eastAsia="仿宋_GB2312" w:cs="仿宋"/>
          <w:iCs/>
          <w:color w:val="000000" w:themeColor="text1"/>
          <w:sz w:val="32"/>
          <w:szCs w:val="32"/>
          <w14:textFill>
            <w14:solidFill>
              <w14:schemeClr w14:val="tx1"/>
            </w14:solidFill>
          </w14:textFill>
        </w:rPr>
        <w:t>，将云能力逐步延伸至用户侧</w:t>
      </w:r>
      <w:r>
        <w:rPr>
          <w:rFonts w:hint="eastAsia" w:ascii="仿宋" w:hAnsi="仿宋" w:eastAsia="仿宋_GB2312" w:cs="仿宋"/>
          <w:iCs/>
          <w:color w:val="000000" w:themeColor="text1"/>
          <w:sz w:val="32"/>
          <w:szCs w:val="32"/>
          <w14:textFill>
            <w14:solidFill>
              <w14:schemeClr w14:val="tx1"/>
            </w14:solidFill>
          </w14:textFill>
        </w:rPr>
        <w:t>。</w:t>
      </w:r>
      <w:r>
        <w:rPr>
          <w:rFonts w:ascii="仿宋" w:hAnsi="仿宋" w:eastAsia="仿宋_GB2312" w:cs="仿宋"/>
          <w:iCs/>
          <w:color w:val="000000" w:themeColor="text1"/>
          <w:sz w:val="32"/>
          <w:szCs w:val="32"/>
          <w14:textFill>
            <w14:solidFill>
              <w14:schemeClr w14:val="tx1"/>
            </w14:solidFill>
          </w14:textFill>
        </w:rPr>
        <w:t>应用SDN、NFV、新一代运营支撑系统，提升云网智能化水平</w:t>
      </w:r>
      <w:r>
        <w:rPr>
          <w:rFonts w:hint="eastAsia" w:ascii="仿宋" w:hAnsi="仿宋" w:eastAsia="仿宋_GB2312" w:cs="仿宋"/>
          <w:iCs/>
          <w:color w:val="000000" w:themeColor="text1"/>
          <w:sz w:val="32"/>
          <w:szCs w:val="32"/>
          <w14:textFill>
            <w14:solidFill>
              <w14:schemeClr w14:val="tx1"/>
            </w14:solidFill>
          </w14:textFill>
        </w:rPr>
        <w:t>。</w:t>
      </w:r>
      <w:r>
        <w:rPr>
          <w:rFonts w:ascii="仿宋" w:hAnsi="仿宋" w:eastAsia="仿宋_GB2312" w:cs="仿宋"/>
          <w:iCs/>
          <w:color w:val="000000" w:themeColor="text1"/>
          <w:sz w:val="32"/>
          <w:szCs w:val="32"/>
          <w14:textFill>
            <w14:solidFill>
              <w14:schemeClr w14:val="tx1"/>
            </w14:solidFill>
          </w14:textFill>
        </w:rPr>
        <w:t>满足高带宽、低时延入云和云间调度、云边协同需求</w:t>
      </w:r>
      <w:r>
        <w:rPr>
          <w:rFonts w:hint="eastAsia" w:ascii="仿宋" w:hAnsi="仿宋" w:eastAsia="仿宋_GB2312" w:cs="仿宋"/>
          <w:iCs/>
          <w:color w:val="000000" w:themeColor="text1"/>
          <w:sz w:val="32"/>
          <w:szCs w:val="32"/>
          <w14:textFill>
            <w14:solidFill>
              <w14:schemeClr w14:val="tx1"/>
            </w14:solidFill>
          </w14:textFill>
        </w:rPr>
        <w:t>，为全</w:t>
      </w:r>
      <w:r>
        <w:rPr>
          <w:rFonts w:ascii="仿宋" w:hAnsi="仿宋" w:eastAsia="仿宋_GB2312" w:cs="仿宋"/>
          <w:iCs/>
          <w:color w:val="000000" w:themeColor="text1"/>
          <w:sz w:val="32"/>
          <w:szCs w:val="32"/>
          <w14:textFill>
            <w14:solidFill>
              <w14:schemeClr w14:val="tx1"/>
            </w14:solidFill>
          </w14:textFill>
        </w:rPr>
        <w:t>社会数字化转型</w:t>
      </w:r>
      <w:r>
        <w:rPr>
          <w:rFonts w:hint="eastAsia" w:ascii="仿宋" w:hAnsi="仿宋" w:eastAsia="仿宋_GB2312" w:cs="仿宋"/>
          <w:iCs/>
          <w:color w:val="000000" w:themeColor="text1"/>
          <w:sz w:val="32"/>
          <w:szCs w:val="32"/>
          <w14:textFill>
            <w14:solidFill>
              <w14:schemeClr w14:val="tx1"/>
            </w14:solidFill>
          </w14:textFill>
        </w:rPr>
        <w:t>提供</w:t>
      </w:r>
      <w:r>
        <w:rPr>
          <w:rFonts w:ascii="仿宋" w:hAnsi="仿宋" w:eastAsia="仿宋_GB2312" w:cs="仿宋"/>
          <w:iCs/>
          <w:color w:val="000000" w:themeColor="text1"/>
          <w:sz w:val="32"/>
          <w:szCs w:val="32"/>
          <w14:textFill>
            <w14:solidFill>
              <w14:schemeClr w14:val="tx1"/>
            </w14:solidFill>
          </w14:textFill>
        </w:rPr>
        <w:t>更加全局化的弹性算力资源。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90" w:type="dxa"/>
          </w:tcPr>
          <w:p>
            <w:pPr>
              <w:ind w:firstLine="562" w:firstLineChars="200"/>
              <w:jc w:val="center"/>
              <w:rPr>
                <w:rFonts w:ascii="楷体" w:hAnsi="楷体" w:eastAsia="楷体" w:cs="楷体"/>
                <w:sz w:val="28"/>
                <w:szCs w:val="28"/>
              </w:rPr>
            </w:pPr>
            <w:r>
              <w:rPr>
                <w:rFonts w:hint="eastAsia" w:ascii="楷体" w:hAnsi="楷体" w:eastAsia="楷体" w:cs="楷体"/>
                <w:b/>
                <w:bCs/>
                <w:sz w:val="28"/>
                <w:szCs w:val="28"/>
              </w:rPr>
              <w:t>重点工程</w:t>
            </w:r>
            <w:r>
              <w:rPr>
                <w:rFonts w:ascii="楷体" w:hAnsi="楷体" w:eastAsia="楷体" w:cs="楷体"/>
                <w:b/>
                <w:bCs/>
                <w:sz w:val="28"/>
                <w:szCs w:val="28"/>
              </w:rPr>
              <w:t>5</w:t>
            </w:r>
            <w:r>
              <w:rPr>
                <w:rFonts w:hint="eastAsia" w:ascii="楷体" w:hAnsi="楷体" w:eastAsia="楷体" w:cs="楷体"/>
                <w:b/>
                <w:bCs/>
                <w:sz w:val="28"/>
                <w:szCs w:val="28"/>
              </w:rPr>
              <w:t>：一体化数据中心与云网融合基础设施建设工程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0" w:type="dxa"/>
          </w:tcPr>
          <w:p>
            <w:pPr>
              <w:ind w:firstLine="562" w:firstLineChars="200"/>
              <w:rPr>
                <w:rFonts w:ascii="楷体" w:hAnsi="楷体" w:eastAsia="楷体" w:cs="楷体"/>
                <w:sz w:val="28"/>
                <w:szCs w:val="28"/>
              </w:rPr>
            </w:pPr>
            <w:r>
              <w:rPr>
                <w:rFonts w:hint="eastAsia" w:ascii="楷体" w:hAnsi="楷体" w:eastAsia="楷体" w:cs="楷体"/>
                <w:b/>
                <w:sz w:val="28"/>
                <w:szCs w:val="28"/>
              </w:rPr>
              <w:t>建设目标：</w:t>
            </w:r>
            <w:r>
              <w:rPr>
                <w:rFonts w:hint="eastAsia" w:ascii="楷体" w:hAnsi="楷体" w:eastAsia="楷体" w:cs="楷体"/>
                <w:sz w:val="28"/>
                <w:szCs w:val="28"/>
              </w:rPr>
              <w:t>数据中心建设布局全面优化升级，网络结构实现扁平化，在运营数据中心平均P</w:t>
            </w:r>
            <w:r>
              <w:rPr>
                <w:rFonts w:ascii="楷体" w:hAnsi="楷体" w:eastAsia="楷体" w:cs="楷体"/>
                <w:sz w:val="28"/>
                <w:szCs w:val="28"/>
              </w:rPr>
              <w:t>UE</w:t>
            </w:r>
            <w:r>
              <w:rPr>
                <w:rFonts w:hint="eastAsia" w:ascii="楷体" w:hAnsi="楷体" w:eastAsia="楷体" w:cs="楷体"/>
                <w:sz w:val="28"/>
                <w:szCs w:val="28"/>
                <w:lang w:eastAsia="zh-CN"/>
              </w:rPr>
              <w:t>值力争低于</w:t>
            </w:r>
            <w:r>
              <w:rPr>
                <w:rFonts w:hint="eastAsia" w:ascii="楷体" w:hAnsi="楷体" w:eastAsia="楷体" w:cs="楷体"/>
                <w:sz w:val="28"/>
                <w:szCs w:val="28"/>
              </w:rPr>
              <w:t>1</w:t>
            </w:r>
            <w:r>
              <w:rPr>
                <w:rFonts w:ascii="楷体" w:hAnsi="楷体" w:eastAsia="楷体" w:cs="楷体"/>
                <w:sz w:val="28"/>
                <w:szCs w:val="28"/>
              </w:rPr>
              <w:t>.</w:t>
            </w:r>
            <w:r>
              <w:rPr>
                <w:rFonts w:hint="eastAsia" w:ascii="楷体" w:hAnsi="楷体" w:eastAsia="楷体" w:cs="楷体"/>
                <w:sz w:val="28"/>
                <w:szCs w:val="28"/>
                <w:lang w:val="en-US" w:eastAsia="zh-CN"/>
              </w:rPr>
              <w:t>55</w:t>
            </w:r>
            <w:r>
              <w:rPr>
                <w:rFonts w:hint="eastAsia" w:ascii="楷体" w:hAnsi="楷体" w:eastAsia="楷体" w:cs="楷体"/>
                <w:sz w:val="28"/>
                <w:szCs w:val="28"/>
              </w:rPr>
              <w:t>，新建大型、超大型数据中心PUE值</w:t>
            </w:r>
            <w:r>
              <w:rPr>
                <w:rFonts w:hint="eastAsia" w:ascii="楷体" w:hAnsi="楷体" w:eastAsia="楷体" w:cs="楷体"/>
                <w:sz w:val="28"/>
                <w:szCs w:val="28"/>
                <w:lang w:eastAsia="zh-CN"/>
              </w:rPr>
              <w:t>力争</w:t>
            </w:r>
            <w:r>
              <w:rPr>
                <w:rFonts w:hint="eastAsia" w:ascii="楷体" w:hAnsi="楷体" w:eastAsia="楷体" w:cs="楷体"/>
                <w:sz w:val="28"/>
                <w:szCs w:val="28"/>
              </w:rPr>
              <w:t>低于1</w:t>
            </w:r>
            <w:r>
              <w:rPr>
                <w:rFonts w:ascii="楷体" w:hAnsi="楷体" w:eastAsia="楷体" w:cs="楷体"/>
                <w:sz w:val="28"/>
                <w:szCs w:val="28"/>
              </w:rPr>
              <w:t>.35</w:t>
            </w:r>
            <w:r>
              <w:rPr>
                <w:rFonts w:hint="eastAsia" w:ascii="楷体" w:hAnsi="楷体" w:eastAsia="楷体" w:cs="楷体"/>
                <w:sz w:val="28"/>
                <w:szCs w:val="28"/>
              </w:rPr>
              <w:t>，绿色节能水平达到新高度；各基础电信企业云计算服务与通信网深度融合，有效培育高质量发展新动能，助力千行百业开展数字化转型。</w:t>
            </w:r>
          </w:p>
          <w:p>
            <w:pPr>
              <w:ind w:firstLine="562" w:firstLineChars="200"/>
              <w:rPr>
                <w:rFonts w:hint="eastAsia" w:ascii="楷体" w:hAnsi="楷体" w:eastAsia="楷体" w:cs="楷体"/>
                <w:b/>
                <w:sz w:val="28"/>
                <w:szCs w:val="28"/>
              </w:rPr>
            </w:pPr>
            <w:r>
              <w:rPr>
                <w:rFonts w:hint="eastAsia" w:ascii="楷体" w:hAnsi="楷体" w:eastAsia="楷体" w:cs="楷体"/>
                <w:b/>
                <w:sz w:val="28"/>
                <w:szCs w:val="28"/>
              </w:rPr>
              <w:t>建设内容：</w:t>
            </w:r>
          </w:p>
          <w:p>
            <w:pPr>
              <w:numPr>
                <w:ilvl w:val="-1"/>
                <w:numId w:val="0"/>
              </w:numPr>
              <w:ind w:firstLine="562" w:firstLineChars="200"/>
              <w:rPr>
                <w:rFonts w:hint="eastAsia" w:ascii="楷体" w:hAnsi="楷体" w:eastAsia="楷体" w:cs="楷体"/>
                <w:sz w:val="28"/>
                <w:szCs w:val="28"/>
              </w:rPr>
            </w:pPr>
            <w:r>
              <w:rPr>
                <w:rFonts w:hint="eastAsia" w:ascii="楷体" w:hAnsi="楷体" w:eastAsia="楷体" w:cs="楷体"/>
                <w:b/>
                <w:sz w:val="28"/>
                <w:szCs w:val="28"/>
                <w:lang w:val="en-US" w:eastAsia="zh-CN"/>
              </w:rPr>
              <w:t>1.提升数据中心建设水平。</w:t>
            </w:r>
            <w:r>
              <w:rPr>
                <w:rFonts w:hint="eastAsia" w:ascii="楷体" w:hAnsi="楷体" w:eastAsia="楷体" w:cs="楷体"/>
                <w:b/>
                <w:sz w:val="28"/>
                <w:szCs w:val="28"/>
              </w:rPr>
              <w:t>一</w:t>
            </w:r>
            <w:r>
              <w:rPr>
                <w:rFonts w:hint="eastAsia" w:ascii="楷体" w:hAnsi="楷体" w:eastAsia="楷体" w:cs="楷体"/>
                <w:sz w:val="28"/>
                <w:szCs w:val="28"/>
              </w:rPr>
              <w:t>是</w:t>
            </w:r>
            <w:r>
              <w:rPr>
                <w:rFonts w:hint="eastAsia" w:ascii="楷体" w:hAnsi="楷体" w:eastAsia="楷体" w:cs="楷体"/>
                <w:sz w:val="28"/>
                <w:szCs w:val="28"/>
                <w:lang w:eastAsia="zh-CN"/>
              </w:rPr>
              <w:t>按需适度建设数据中心，</w:t>
            </w:r>
            <w:r>
              <w:rPr>
                <w:rFonts w:hint="eastAsia" w:ascii="楷体" w:hAnsi="楷体" w:eastAsia="楷体" w:cs="楷体"/>
                <w:sz w:val="28"/>
                <w:szCs w:val="28"/>
              </w:rPr>
              <w:t>优先发展单位效益好的大型（超大型）云数据中心；二是坚持需求导向，根据业务场景、时延、容量、安全等因素，合理建设边缘数据中心；三是支持整合提升低、小、散、旧数据中心，通过淘汰一批生产率和能效水平低、功能单一、规模小、效益差、资源浪费严重的数据中心，腾出能耗指标，推动集约化建设；四是优化数据中心能源供给与利用，加快节能技术创新和应用，推广使用节能与绿色技术产品；</w:t>
            </w:r>
          </w:p>
          <w:p>
            <w:pPr>
              <w:numPr>
                <w:ilvl w:val="-1"/>
                <w:numId w:val="0"/>
              </w:numPr>
              <w:ind w:firstLine="562" w:firstLineChars="200"/>
              <w:rPr>
                <w:rFonts w:ascii="楷体" w:hAnsi="楷体" w:eastAsia="楷体" w:cs="楷体"/>
                <w:b/>
                <w:sz w:val="28"/>
                <w:szCs w:val="28"/>
              </w:rPr>
            </w:pPr>
            <w:r>
              <w:rPr>
                <w:rFonts w:hint="eastAsia" w:ascii="楷体" w:hAnsi="楷体" w:eastAsia="楷体" w:cs="楷体"/>
                <w:b/>
                <w:sz w:val="28"/>
                <w:szCs w:val="28"/>
                <w:lang w:val="en-US" w:eastAsia="zh-CN"/>
              </w:rPr>
              <w:t>2.提升数据中心服务效能。一</w:t>
            </w:r>
            <w:r>
              <w:rPr>
                <w:rFonts w:hint="eastAsia" w:ascii="楷体" w:hAnsi="楷体" w:eastAsia="楷体" w:cs="楷体"/>
                <w:sz w:val="28"/>
                <w:szCs w:val="28"/>
              </w:rPr>
              <w:t>是</w:t>
            </w:r>
            <w:r>
              <w:rPr>
                <w:rFonts w:hint="eastAsia" w:ascii="楷体" w:hAnsi="楷体" w:eastAsia="楷体" w:cs="楷体"/>
                <w:bCs/>
                <w:sz w:val="28"/>
                <w:szCs w:val="28"/>
              </w:rPr>
              <w:t>提升云资源性能，建设高效泛在的算力基础设施。适时引入高性能产品，提升数据处理能力和资源利用率，打造差异化的IaaS基础设施</w:t>
            </w:r>
            <w:r>
              <w:rPr>
                <w:rFonts w:hint="eastAsia" w:ascii="楷体" w:hAnsi="楷体" w:eastAsia="楷体" w:cs="楷体"/>
                <w:bCs/>
                <w:sz w:val="28"/>
                <w:szCs w:val="28"/>
                <w:lang w:eastAsia="zh-CN"/>
              </w:rPr>
              <w:t>，</w:t>
            </w:r>
            <w:r>
              <w:rPr>
                <w:rFonts w:hint="eastAsia" w:ascii="楷体" w:hAnsi="楷体" w:eastAsia="楷体" w:cs="楷体"/>
                <w:bCs/>
                <w:sz w:val="28"/>
                <w:szCs w:val="28"/>
              </w:rPr>
              <w:t>结合微服务框架、容器化平台等云原生技术，建立集约统一的PaaS底座，打造敏捷开发运营一体化平台，实现数字化开发和持续交付</w:t>
            </w:r>
            <w:r>
              <w:rPr>
                <w:rFonts w:hint="eastAsia" w:ascii="楷体" w:hAnsi="楷体" w:eastAsia="楷体" w:cs="楷体"/>
                <w:bCs/>
                <w:sz w:val="28"/>
                <w:szCs w:val="28"/>
                <w:lang w:eastAsia="zh-CN"/>
              </w:rPr>
              <w:t>，</w:t>
            </w:r>
            <w:r>
              <w:rPr>
                <w:rFonts w:hint="eastAsia" w:ascii="楷体" w:hAnsi="楷体" w:eastAsia="楷体" w:cs="楷体"/>
                <w:bCs/>
                <w:sz w:val="28"/>
                <w:szCs w:val="28"/>
              </w:rPr>
              <w:t>建立汇聚全网IT、CT、DT原子能力、内外部共享的能力开放平台，构筑开发者生态；建立跨系统、跨层级的立体化运维监控平台；</w:t>
            </w:r>
            <w:r>
              <w:rPr>
                <w:rFonts w:hint="eastAsia" w:ascii="楷体" w:hAnsi="楷体" w:eastAsia="楷体" w:cs="楷体"/>
                <w:bCs/>
                <w:sz w:val="28"/>
                <w:szCs w:val="28"/>
                <w:lang w:eastAsia="zh-CN"/>
              </w:rPr>
              <w:t>二</w:t>
            </w:r>
            <w:r>
              <w:rPr>
                <w:rFonts w:hint="eastAsia" w:ascii="楷体" w:hAnsi="楷体" w:eastAsia="楷体" w:cs="楷体"/>
                <w:bCs/>
                <w:sz w:val="28"/>
                <w:szCs w:val="28"/>
              </w:rPr>
              <w:t>是加快建设高可靠、高性能、可扩展的数据中心内外网络</w:t>
            </w:r>
            <w:r>
              <w:rPr>
                <w:rFonts w:hint="eastAsia" w:ascii="楷体" w:hAnsi="楷体" w:eastAsia="楷体" w:cs="楷体"/>
                <w:bCs/>
                <w:sz w:val="28"/>
                <w:szCs w:val="28"/>
                <w:lang w:eastAsia="zh-CN"/>
              </w:rPr>
              <w:t>，</w:t>
            </w:r>
            <w:r>
              <w:rPr>
                <w:rFonts w:hint="eastAsia" w:ascii="楷体" w:hAnsi="楷体" w:eastAsia="楷体" w:cs="楷体"/>
                <w:bCs/>
                <w:sz w:val="28"/>
                <w:szCs w:val="28"/>
              </w:rPr>
              <w:t>优化云内网络，实现数据中心内网能力和云能力的有机结合与一体化运行</w:t>
            </w:r>
            <w:r>
              <w:rPr>
                <w:rFonts w:hint="eastAsia" w:ascii="楷体" w:hAnsi="楷体" w:eastAsia="楷体" w:cs="楷体"/>
                <w:bCs/>
                <w:sz w:val="28"/>
                <w:szCs w:val="28"/>
                <w:lang w:eastAsia="zh-CN"/>
              </w:rPr>
              <w:t>，</w:t>
            </w:r>
            <w:r>
              <w:rPr>
                <w:rFonts w:hint="eastAsia" w:ascii="楷体" w:hAnsi="楷体" w:eastAsia="楷体" w:cs="楷体"/>
                <w:bCs/>
                <w:sz w:val="28"/>
                <w:szCs w:val="28"/>
              </w:rPr>
              <w:t>部署大容量、无阻塞、低时延的云间网络，实现数据中心间东西向流量的快速转发和高效承载</w:t>
            </w:r>
            <w:r>
              <w:rPr>
                <w:rFonts w:hint="eastAsia" w:ascii="楷体" w:hAnsi="楷体" w:eastAsia="楷体" w:cs="楷体"/>
                <w:bCs/>
                <w:sz w:val="28"/>
                <w:szCs w:val="28"/>
                <w:lang w:eastAsia="zh-CN"/>
              </w:rPr>
              <w:t>，</w:t>
            </w:r>
            <w:r>
              <w:rPr>
                <w:rFonts w:hint="eastAsia" w:ascii="楷体" w:hAnsi="楷体" w:eastAsia="楷体" w:cs="楷体"/>
                <w:bCs/>
                <w:sz w:val="28"/>
                <w:szCs w:val="28"/>
              </w:rPr>
              <w:t>通过软件定义方式，实现简单、灵活、低成本的入云连接。</w:t>
            </w:r>
          </w:p>
        </w:tc>
      </w:tr>
    </w:tbl>
    <w:p>
      <w:pPr>
        <w:ind w:firstLine="643" w:firstLineChars="200"/>
        <w:rPr>
          <w:rFonts w:ascii="仿宋" w:hAnsi="仿宋" w:eastAsia="仿宋_GB2312" w:cs="仿宋"/>
          <w:sz w:val="32"/>
          <w:szCs w:val="32"/>
        </w:rPr>
      </w:pPr>
      <w:r>
        <w:rPr>
          <w:rFonts w:hint="eastAsia" w:ascii="仿宋" w:hAnsi="仿宋" w:eastAsia="仿宋_GB2312" w:cs="仿宋"/>
          <w:b/>
          <w:bCs/>
          <w:sz w:val="32"/>
          <w:szCs w:val="32"/>
        </w:rPr>
        <w:t>构建行业数据智能枢纽。</w:t>
      </w:r>
      <w:bookmarkStart w:id="79" w:name="_Hlk73260402"/>
      <w:r>
        <w:rPr>
          <w:rFonts w:hint="eastAsia" w:ascii="仿宋" w:hAnsi="仿宋" w:eastAsia="仿宋_GB2312" w:cs="仿宋"/>
          <w:sz w:val="32"/>
          <w:szCs w:val="32"/>
          <w:shd w:val="clear" w:color="auto" w:fill="FFFFFF"/>
        </w:rPr>
        <w:t>构建集约运营的信息通信行业大数据平台</w:t>
      </w:r>
      <w:bookmarkEnd w:id="79"/>
      <w:r>
        <w:rPr>
          <w:rFonts w:hint="eastAsia" w:ascii="仿宋" w:hAnsi="仿宋" w:eastAsia="仿宋_GB2312" w:cs="仿宋"/>
          <w:sz w:val="32"/>
          <w:szCs w:val="32"/>
          <w:shd w:val="clear" w:color="auto" w:fill="FFFFFF"/>
        </w:rPr>
        <w:t>，将通信海量大数据汇聚成数据湖，形成集数据采集、存储、分析、治理、应用的全生命周期管理平台。构建行业数据治理体系，全面梳理、整合通信行业数据资源，提升数据质量，完善数据监管。打通数据信息链和业务服务链，推动行业数据的共享开放和流通，构建行业数据驱动创新的智能枢纽。</w:t>
      </w:r>
    </w:p>
    <w:p>
      <w:pPr>
        <w:spacing w:line="360" w:lineRule="auto"/>
        <w:ind w:firstLine="643" w:firstLineChars="200"/>
        <w:outlineLvl w:val="2"/>
        <w:rPr>
          <w:rFonts w:ascii="仿宋" w:hAnsi="仿宋" w:eastAsia="仿宋_GB2312" w:cs="仿宋"/>
          <w:b/>
          <w:bCs/>
          <w:sz w:val="32"/>
          <w:szCs w:val="32"/>
        </w:rPr>
      </w:pPr>
      <w:r>
        <w:rPr>
          <w:rFonts w:hint="eastAsia" w:ascii="仿宋" w:hAnsi="仿宋" w:eastAsia="仿宋_GB2312" w:cs="仿宋"/>
          <w:b/>
          <w:bCs/>
          <w:sz w:val="32"/>
          <w:szCs w:val="32"/>
        </w:rPr>
        <w:t xml:space="preserve">3.着力建设高效协同的融合基础设施 </w:t>
      </w:r>
    </w:p>
    <w:p>
      <w:pPr>
        <w:autoSpaceDE w:val="0"/>
        <w:autoSpaceDN w:val="0"/>
        <w:adjustRightInd w:val="0"/>
        <w:ind w:firstLine="643" w:firstLineChars="200"/>
        <w:rPr>
          <w:rFonts w:ascii="仿宋" w:hAnsi="仿宋" w:eastAsia="仿宋" w:cs="仿宋"/>
          <w:bCs/>
          <w:sz w:val="32"/>
          <w:szCs w:val="32"/>
        </w:rPr>
      </w:pPr>
      <w:r>
        <w:rPr>
          <w:rFonts w:hint="eastAsia" w:ascii="仿宋" w:hAnsi="仿宋" w:eastAsia="仿宋_GB2312" w:cs="仿宋"/>
          <w:b/>
          <w:bCs/>
          <w:sz w:val="32"/>
          <w:szCs w:val="32"/>
        </w:rPr>
        <w:t>加快推进工业互联网部署。</w:t>
      </w:r>
      <w:r>
        <w:rPr>
          <w:rFonts w:hint="eastAsia" w:ascii="仿宋" w:hAnsi="仿宋" w:eastAsia="仿宋_GB2312" w:cs="仿宋"/>
          <w:bCs/>
          <w:sz w:val="32"/>
          <w:szCs w:val="32"/>
        </w:rPr>
        <w:t>升级建设企业工业互联网外网络，建设低时延、高带宽、广覆盖、可定制的工业互联网外网络。建设改造企业工业互联网内网络，推进部署</w:t>
      </w:r>
      <w:r>
        <w:rPr>
          <w:rFonts w:hint="eastAsia" w:ascii="仿宋" w:eastAsia="仿宋_GB2312" w:cs="仿宋"/>
          <w:bCs/>
          <w:kern w:val="0"/>
          <w:sz w:val="32"/>
          <w:szCs w:val="32"/>
        </w:rPr>
        <w:t>工业互联网网关等新技术关键设备。加快标识解析节点建设，</w:t>
      </w:r>
      <w:r>
        <w:rPr>
          <w:rFonts w:hint="eastAsia" w:ascii="仿宋" w:hAnsi="仿宋" w:eastAsia="仿宋_GB2312" w:cs="仿宋"/>
          <w:bCs/>
          <w:sz w:val="32"/>
          <w:szCs w:val="32"/>
        </w:rPr>
        <w:t>推进工业互联网标识解析体系在多区域、多行业、多企业的应用，拓展成熟工业互联网标识解析的应用场景。构建多层次工业</w:t>
      </w:r>
      <w:r>
        <w:rPr>
          <w:rFonts w:ascii="仿宋" w:hAnsi="仿宋" w:eastAsia="仿宋_GB2312" w:cs="仿宋"/>
          <w:bCs/>
          <w:sz w:val="32"/>
          <w:szCs w:val="32"/>
        </w:rPr>
        <w:t>互联网</w:t>
      </w:r>
      <w:r>
        <w:rPr>
          <w:rFonts w:hint="eastAsia" w:ascii="仿宋" w:hAnsi="仿宋" w:eastAsia="仿宋_GB2312" w:cs="仿宋"/>
          <w:bCs/>
          <w:sz w:val="32"/>
          <w:szCs w:val="32"/>
        </w:rPr>
        <w:t>平台</w:t>
      </w:r>
      <w:r>
        <w:rPr>
          <w:rFonts w:ascii="仿宋" w:hAnsi="仿宋" w:eastAsia="仿宋_GB2312" w:cs="仿宋"/>
          <w:bCs/>
          <w:sz w:val="32"/>
          <w:szCs w:val="32"/>
        </w:rPr>
        <w:t>体系</w:t>
      </w:r>
      <w:r>
        <w:rPr>
          <w:rFonts w:hint="eastAsia" w:ascii="仿宋" w:hAnsi="仿宋" w:eastAsia="仿宋_GB2312" w:cs="仿宋"/>
          <w:bCs/>
          <w:sz w:val="32"/>
          <w:szCs w:val="32"/>
        </w:rPr>
        <w:t>，打造技术支撑</w:t>
      </w:r>
      <w:r>
        <w:rPr>
          <w:rFonts w:ascii="仿宋" w:hAnsi="仿宋" w:eastAsia="仿宋_GB2312" w:cs="仿宋"/>
          <w:bCs/>
          <w:sz w:val="32"/>
          <w:szCs w:val="32"/>
        </w:rPr>
        <w:t>底座</w:t>
      </w:r>
      <w:r>
        <w:rPr>
          <w:rFonts w:hint="eastAsia" w:ascii="仿宋" w:hAnsi="仿宋" w:eastAsia="仿宋_GB2312" w:cs="仿宋"/>
          <w:bCs/>
          <w:sz w:val="32"/>
          <w:szCs w:val="32"/>
        </w:rPr>
        <w:t>的通用平台、</w:t>
      </w:r>
      <w:r>
        <w:rPr>
          <w:rFonts w:ascii="仿宋" w:hAnsi="仿宋" w:eastAsia="仿宋_GB2312" w:cs="仿宋"/>
          <w:bCs/>
          <w:sz w:val="32"/>
          <w:szCs w:val="32"/>
        </w:rPr>
        <w:t>数据模型</w:t>
      </w:r>
      <w:r>
        <w:rPr>
          <w:rFonts w:hint="eastAsia" w:ascii="仿宋" w:hAnsi="仿宋" w:eastAsia="仿宋_GB2312" w:cs="仿宋"/>
          <w:bCs/>
          <w:sz w:val="32"/>
          <w:szCs w:val="32"/>
        </w:rPr>
        <w:t>和</w:t>
      </w:r>
      <w:r>
        <w:rPr>
          <w:rFonts w:ascii="仿宋" w:hAnsi="仿宋" w:eastAsia="仿宋_GB2312" w:cs="仿宋"/>
          <w:bCs/>
          <w:sz w:val="32"/>
          <w:szCs w:val="32"/>
        </w:rPr>
        <w:t>算法枢纽</w:t>
      </w:r>
      <w:r>
        <w:rPr>
          <w:rFonts w:hint="eastAsia" w:ascii="仿宋" w:hAnsi="仿宋" w:eastAsia="仿宋_GB2312" w:cs="仿宋"/>
          <w:bCs/>
          <w:sz w:val="32"/>
          <w:szCs w:val="32"/>
        </w:rPr>
        <w:t>的双跨平台、</w:t>
      </w:r>
      <w:r>
        <w:rPr>
          <w:rFonts w:ascii="仿宋" w:hAnsi="仿宋" w:eastAsia="仿宋_GB2312" w:cs="仿宋"/>
          <w:bCs/>
          <w:sz w:val="32"/>
          <w:szCs w:val="32"/>
        </w:rPr>
        <w:t>行业知识</w:t>
      </w:r>
      <w:r>
        <w:rPr>
          <w:rFonts w:hint="eastAsia" w:ascii="仿宋" w:hAnsi="仿宋" w:eastAsia="仿宋_GB2312" w:cs="仿宋"/>
          <w:bCs/>
          <w:sz w:val="32"/>
          <w:szCs w:val="32"/>
        </w:rPr>
        <w:t>和</w:t>
      </w:r>
      <w:r>
        <w:rPr>
          <w:rFonts w:ascii="仿宋" w:hAnsi="仿宋" w:eastAsia="仿宋_GB2312" w:cs="仿宋"/>
          <w:bCs/>
          <w:sz w:val="32"/>
          <w:szCs w:val="32"/>
        </w:rPr>
        <w:t>数字化工具沉淀复用</w:t>
      </w:r>
      <w:r>
        <w:rPr>
          <w:rFonts w:hint="eastAsia" w:ascii="仿宋" w:hAnsi="仿宋" w:eastAsia="仿宋_GB2312" w:cs="仿宋"/>
          <w:bCs/>
          <w:sz w:val="32"/>
          <w:szCs w:val="32"/>
        </w:rPr>
        <w:t>的</w:t>
      </w:r>
      <w:r>
        <w:rPr>
          <w:rFonts w:ascii="仿宋" w:hAnsi="仿宋" w:eastAsia="仿宋_GB2312" w:cs="仿宋"/>
          <w:bCs/>
          <w:sz w:val="32"/>
          <w:szCs w:val="32"/>
        </w:rPr>
        <w:t>行业平台</w:t>
      </w:r>
      <w:r>
        <w:rPr>
          <w:rFonts w:hint="eastAsia" w:ascii="仿宋" w:hAnsi="仿宋" w:eastAsia="仿宋_GB2312" w:cs="仿宋"/>
          <w:bCs/>
          <w:sz w:val="32"/>
          <w:szCs w:val="32"/>
        </w:rPr>
        <w:t>、聚焦</w:t>
      </w:r>
      <w:r>
        <w:rPr>
          <w:rFonts w:ascii="仿宋" w:hAnsi="仿宋" w:eastAsia="仿宋_GB2312" w:cs="仿宋"/>
          <w:bCs/>
          <w:sz w:val="32"/>
          <w:szCs w:val="32"/>
        </w:rPr>
        <w:t>特定领域和环节</w:t>
      </w:r>
      <w:r>
        <w:rPr>
          <w:rFonts w:hint="eastAsia" w:ascii="仿宋" w:hAnsi="仿宋" w:eastAsia="仿宋_GB2312" w:cs="仿宋"/>
          <w:bCs/>
          <w:sz w:val="32"/>
          <w:szCs w:val="32"/>
        </w:rPr>
        <w:t>的</w:t>
      </w:r>
      <w:r>
        <w:rPr>
          <w:rFonts w:ascii="仿宋" w:hAnsi="仿宋" w:eastAsia="仿宋_GB2312" w:cs="仿宋"/>
          <w:bCs/>
          <w:sz w:val="32"/>
          <w:szCs w:val="32"/>
        </w:rPr>
        <w:t>专业平台</w:t>
      </w:r>
      <w:r>
        <w:rPr>
          <w:rFonts w:hint="eastAsia" w:ascii="仿宋" w:hAnsi="仿宋" w:eastAsia="仿宋_GB2312" w:cs="仿宋"/>
          <w:bCs/>
          <w:sz w:val="32"/>
          <w:szCs w:val="32"/>
        </w:rPr>
        <w:t>、</w:t>
      </w:r>
      <w:r>
        <w:rPr>
          <w:rFonts w:ascii="仿宋" w:hAnsi="仿宋" w:eastAsia="仿宋_GB2312" w:cs="仿宋"/>
          <w:bCs/>
          <w:sz w:val="32"/>
          <w:szCs w:val="32"/>
        </w:rPr>
        <w:t>专有化部署</w:t>
      </w:r>
      <w:r>
        <w:rPr>
          <w:rFonts w:hint="eastAsia" w:ascii="仿宋" w:hAnsi="仿宋" w:eastAsia="仿宋_GB2312" w:cs="仿宋"/>
          <w:bCs/>
          <w:sz w:val="32"/>
          <w:szCs w:val="32"/>
        </w:rPr>
        <w:t>的</w:t>
      </w:r>
      <w:r>
        <w:rPr>
          <w:rFonts w:ascii="仿宋" w:hAnsi="仿宋" w:eastAsia="仿宋_GB2312" w:cs="仿宋"/>
          <w:bCs/>
          <w:sz w:val="32"/>
          <w:szCs w:val="32"/>
        </w:rPr>
        <w:t>企业级平台。</w:t>
      </w:r>
      <w:r>
        <w:rPr>
          <w:rFonts w:hint="eastAsia" w:ascii="仿宋" w:hAnsi="仿宋" w:eastAsia="仿宋_GB2312" w:cs="仿宋"/>
          <w:bCs/>
          <w:sz w:val="32"/>
          <w:szCs w:val="32"/>
        </w:rPr>
        <w:t>建设国家工业互联网大数据中心湖南分中心，汇聚工业数据，支撑产业监测分析，赋能企业创新发展。推动工业A</w:t>
      </w:r>
      <w:r>
        <w:rPr>
          <w:rFonts w:ascii="仿宋" w:hAnsi="仿宋" w:eastAsia="仿宋_GB2312" w:cs="仿宋"/>
          <w:bCs/>
          <w:sz w:val="32"/>
          <w:szCs w:val="32"/>
        </w:rPr>
        <w:t>PP</w:t>
      </w:r>
      <w:r>
        <w:rPr>
          <w:rFonts w:hint="eastAsia" w:ascii="仿宋" w:hAnsi="仿宋" w:eastAsia="仿宋_GB2312" w:cs="仿宋"/>
          <w:bCs/>
          <w:sz w:val="32"/>
          <w:szCs w:val="32"/>
        </w:rPr>
        <w:t>向工业互联网平台汇聚，加快工业A</w:t>
      </w:r>
      <w:r>
        <w:rPr>
          <w:rFonts w:ascii="仿宋" w:hAnsi="仿宋" w:eastAsia="仿宋_GB2312" w:cs="仿宋"/>
          <w:bCs/>
          <w:sz w:val="32"/>
          <w:szCs w:val="32"/>
        </w:rPr>
        <w:t>PP</w:t>
      </w:r>
      <w:r>
        <w:rPr>
          <w:rFonts w:hint="eastAsia" w:ascii="仿宋" w:hAnsi="仿宋" w:eastAsia="仿宋_GB2312" w:cs="仿宋"/>
          <w:bCs/>
          <w:sz w:val="32"/>
          <w:szCs w:val="32"/>
        </w:rPr>
        <w:t>培育发展。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8" w:type="dxa"/>
          </w:tcPr>
          <w:p>
            <w:pPr>
              <w:ind w:firstLine="562" w:firstLineChars="200"/>
              <w:jc w:val="center"/>
              <w:rPr>
                <w:rFonts w:ascii="楷体" w:hAnsi="楷体" w:eastAsia="楷体" w:cs="楷体"/>
                <w:sz w:val="28"/>
                <w:szCs w:val="28"/>
              </w:rPr>
            </w:pPr>
            <w:r>
              <w:rPr>
                <w:rFonts w:hint="eastAsia" w:ascii="楷体" w:hAnsi="楷体" w:eastAsia="楷体" w:cs="楷体"/>
                <w:b/>
                <w:bCs/>
                <w:sz w:val="28"/>
                <w:szCs w:val="28"/>
              </w:rPr>
              <w:t>重点工程</w:t>
            </w:r>
            <w:r>
              <w:rPr>
                <w:rFonts w:ascii="楷体" w:hAnsi="楷体" w:eastAsia="楷体" w:cs="楷体"/>
                <w:b/>
                <w:bCs/>
                <w:sz w:val="28"/>
                <w:szCs w:val="28"/>
              </w:rPr>
              <w:t>6</w:t>
            </w:r>
            <w:r>
              <w:rPr>
                <w:rFonts w:hint="eastAsia" w:ascii="楷体" w:hAnsi="楷体" w:eastAsia="楷体" w:cs="楷体"/>
                <w:b/>
                <w:bCs/>
                <w:sz w:val="28"/>
                <w:szCs w:val="28"/>
              </w:rPr>
              <w:t>：工业互联网创新发展工程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8" w:type="dxa"/>
          </w:tcPr>
          <w:p>
            <w:pPr>
              <w:ind w:firstLine="562" w:firstLineChars="200"/>
              <w:rPr>
                <w:rFonts w:ascii="楷体" w:hAnsi="楷体" w:eastAsia="楷体" w:cs="楷体"/>
                <w:sz w:val="28"/>
                <w:szCs w:val="28"/>
              </w:rPr>
            </w:pPr>
            <w:r>
              <w:rPr>
                <w:rFonts w:hint="eastAsia" w:ascii="楷体" w:hAnsi="楷体" w:eastAsia="楷体" w:cs="楷体"/>
                <w:b/>
                <w:sz w:val="28"/>
                <w:szCs w:val="28"/>
              </w:rPr>
              <w:t>建设目标：</w:t>
            </w:r>
            <w:r>
              <w:rPr>
                <w:rFonts w:hint="eastAsia" w:ascii="楷体" w:hAnsi="楷体" w:eastAsia="楷体" w:cs="楷体"/>
                <w:bCs/>
                <w:sz w:val="28"/>
                <w:szCs w:val="28"/>
              </w:rPr>
              <w:t>初步建成覆盖全省各地区、各行业的工业互联网网络基础设施，工业互联网网络、平台、安全三大体系建设完备，工业互联网产业生态构建完善，省级工业互联网域名标识解析二级节点功能大幅增强，工业互联网标识注册量达到</w:t>
            </w:r>
            <w:r>
              <w:rPr>
                <w:rFonts w:ascii="楷体" w:hAnsi="楷体" w:eastAsia="楷体" w:cs="楷体"/>
                <w:bCs/>
                <w:sz w:val="28"/>
                <w:szCs w:val="28"/>
              </w:rPr>
              <w:t>6</w:t>
            </w:r>
            <w:r>
              <w:rPr>
                <w:rFonts w:hint="eastAsia" w:ascii="楷体" w:hAnsi="楷体" w:eastAsia="楷体" w:cs="楷体"/>
                <w:bCs/>
                <w:sz w:val="28"/>
                <w:szCs w:val="28"/>
              </w:rPr>
              <w:t>亿个，工业互联网平台建设与应用水平全国领先。</w:t>
            </w:r>
          </w:p>
          <w:p>
            <w:pPr>
              <w:ind w:firstLine="562" w:firstLineChars="200"/>
              <w:rPr>
                <w:rFonts w:ascii="微软雅黑" w:hAnsi="微软雅黑" w:eastAsia="微软雅黑" w:cs="宋体"/>
                <w:color w:val="000000"/>
                <w:kern w:val="0"/>
                <w:szCs w:val="21"/>
              </w:rPr>
            </w:pPr>
            <w:r>
              <w:rPr>
                <w:rFonts w:hint="eastAsia" w:ascii="楷体" w:hAnsi="楷体" w:eastAsia="楷体" w:cs="楷体"/>
                <w:b/>
                <w:sz w:val="28"/>
                <w:szCs w:val="28"/>
              </w:rPr>
              <w:t>建设内容</w:t>
            </w:r>
            <w:r>
              <w:rPr>
                <w:rFonts w:hint="eastAsia" w:ascii="楷体" w:hAnsi="楷体" w:eastAsia="楷体" w:cs="楷体"/>
                <w:bCs/>
                <w:sz w:val="28"/>
                <w:szCs w:val="28"/>
              </w:rPr>
              <w:t>：一是支持基础电信企业与工业企业</w:t>
            </w:r>
            <w:r>
              <w:rPr>
                <w:rFonts w:hint="eastAsia" w:ascii="楷体" w:hAnsi="楷体" w:eastAsia="楷体" w:cs="楷体"/>
                <w:bCs/>
                <w:sz w:val="28"/>
                <w:szCs w:val="28"/>
                <w:lang w:eastAsia="zh-CN"/>
              </w:rPr>
              <w:t>通过</w:t>
            </w:r>
            <w:r>
              <w:rPr>
                <w:rFonts w:hint="eastAsia" w:ascii="楷体" w:hAnsi="楷体" w:eastAsia="楷体" w:cs="楷体"/>
                <w:bCs/>
                <w:sz w:val="28"/>
                <w:szCs w:val="28"/>
              </w:rPr>
              <w:t>市场化的</w:t>
            </w:r>
            <w:r>
              <w:rPr>
                <w:rFonts w:hint="eastAsia" w:ascii="楷体" w:hAnsi="楷体" w:eastAsia="楷体" w:cs="楷体"/>
                <w:bCs/>
                <w:sz w:val="28"/>
                <w:szCs w:val="28"/>
                <w:lang w:eastAsia="zh-CN"/>
              </w:rPr>
              <w:t>、</w:t>
            </w:r>
            <w:r>
              <w:rPr>
                <w:rFonts w:hint="eastAsia" w:ascii="楷体" w:hAnsi="楷体" w:eastAsia="楷体" w:cs="楷体"/>
                <w:bCs/>
                <w:sz w:val="28"/>
                <w:szCs w:val="28"/>
              </w:rPr>
              <w:t>手段对接合作，探索适用工业生产需要的网络部署模式，结合5G、边缘计算（M</w:t>
            </w:r>
            <w:r>
              <w:rPr>
                <w:rFonts w:ascii="楷体" w:hAnsi="楷体" w:eastAsia="楷体" w:cs="楷体"/>
                <w:bCs/>
                <w:sz w:val="28"/>
                <w:szCs w:val="28"/>
              </w:rPr>
              <w:t>EC</w:t>
            </w:r>
            <w:r>
              <w:rPr>
                <w:rFonts w:hint="eastAsia" w:ascii="楷体" w:hAnsi="楷体" w:eastAsia="楷体" w:cs="楷体"/>
                <w:bCs/>
                <w:sz w:val="28"/>
                <w:szCs w:val="28"/>
              </w:rPr>
              <w:t>）等技术，为具备条件的工业企业进行工业互联网内网设计、建设和管理运维，打造“5G+工业互联网”园区网络，引领5G技术在垂直行业的融合创新；二是聚焦湖南特色，打造工程机械、轨道交通、陶瓷、烟花、注塑等特色产业集群平台建设，有效引导平台和集群供需精准对接,</w:t>
            </w:r>
            <w:r>
              <w:rPr>
                <w:rFonts w:hint="eastAsia"/>
              </w:rPr>
              <w:t xml:space="preserve"> </w:t>
            </w:r>
            <w:r>
              <w:rPr>
                <w:rFonts w:hint="eastAsia" w:ascii="楷体" w:hAnsi="楷体" w:eastAsia="楷体" w:cs="楷体"/>
                <w:bCs/>
                <w:sz w:val="28"/>
                <w:szCs w:val="28"/>
              </w:rPr>
              <w:t>鼓励有条件的行业龙头企业与相关机构合作，建设本行业标识解析二级节点，构建多层次平台体系；三是完善工业互联网生态体系，培育、引进一批工业互联网解决方案和安全服务商，推动解决方案与</w:t>
            </w:r>
            <w:r>
              <w:rPr>
                <w:rFonts w:hint="eastAsia" w:ascii="楷体" w:hAnsi="楷体" w:eastAsia="楷体" w:cs="楷体"/>
                <w:bCs/>
                <w:sz w:val="28"/>
                <w:szCs w:val="28"/>
                <w:lang w:eastAsia="zh-CN"/>
              </w:rPr>
              <w:t>工业</w:t>
            </w:r>
            <w:r>
              <w:rPr>
                <w:rFonts w:hint="eastAsia" w:ascii="楷体" w:hAnsi="楷体" w:eastAsia="楷体" w:cs="楷体"/>
                <w:bCs/>
                <w:sz w:val="28"/>
                <w:szCs w:val="28"/>
              </w:rPr>
              <w:t>企业精准对接、深度合作，推动建设一批特定行业、集群、场景的生产流程优化、质量分析、设备预测性维护、智能排产等工业应用A</w:t>
            </w:r>
            <w:r>
              <w:rPr>
                <w:rFonts w:ascii="楷体" w:hAnsi="楷体" w:eastAsia="楷体" w:cs="楷体"/>
                <w:bCs/>
                <w:sz w:val="28"/>
                <w:szCs w:val="28"/>
              </w:rPr>
              <w:t>pp</w:t>
            </w:r>
            <w:r>
              <w:rPr>
                <w:rFonts w:hint="eastAsia" w:ascii="楷体" w:hAnsi="楷体" w:eastAsia="楷体" w:cs="楷体"/>
                <w:bCs/>
                <w:sz w:val="28"/>
                <w:szCs w:val="28"/>
              </w:rPr>
              <w:t>。</w:t>
            </w:r>
          </w:p>
        </w:tc>
      </w:tr>
    </w:tbl>
    <w:p>
      <w:pPr>
        <w:ind w:firstLine="643" w:firstLineChars="200"/>
        <w:rPr>
          <w:rFonts w:ascii="仿宋" w:hAnsi="仿宋" w:eastAsia="仿宋_GB2312" w:cs="仿宋"/>
          <w:color w:val="000000" w:themeColor="text1"/>
          <w:sz w:val="32"/>
          <w:szCs w:val="32"/>
          <w:shd w:val="clear" w:color="auto" w:fill="FFFFFF"/>
          <w14:textFill>
            <w14:solidFill>
              <w14:schemeClr w14:val="tx1"/>
            </w14:solidFill>
          </w14:textFill>
        </w:rPr>
      </w:pPr>
      <w:r>
        <w:rPr>
          <w:rFonts w:hint="eastAsia" w:ascii="仿宋" w:hAnsi="仿宋" w:eastAsia="仿宋_GB2312" w:cs="仿宋"/>
          <w:b/>
          <w:color w:val="auto"/>
          <w:sz w:val="32"/>
          <w:szCs w:val="32"/>
        </w:rPr>
        <w:t>协同推进城市新型基础设施部署。</w:t>
      </w:r>
      <w:r>
        <w:rPr>
          <w:rFonts w:hint="eastAsia" w:ascii="仿宋" w:hAnsi="仿宋" w:eastAsia="仿宋_GB2312" w:cs="仿宋"/>
          <w:b w:val="0"/>
          <w:bCs/>
          <w:color w:val="auto"/>
          <w:sz w:val="32"/>
          <w:szCs w:val="32"/>
        </w:rPr>
        <w:t>综合利用5G、物联网、大数据、人工智能技术对传统基础设施进行智能化改造，协同部署千万级智慧感知网络，建成全域智慧感知网络。协同推进车路协同车联网基础设施布局，通过城市道路各类杆塔共杆建设，搭载城市监测等末端感知节点与5G、C-V2X、北斗地基增强系统等网络节点，融入智能网关、边缘计算（MEC）等功能模块，搭建支持高级别自动驾驶运行的高可靠、低延时专用网络。加快园区网络建设和传统基础设施智能化升级，发挥双千兆网络优势，支撑AR、VR等内容的网络化、移动化、智能化，协同打造全国领先的数字文创基础设施。</w:t>
      </w:r>
    </w:p>
    <w:p>
      <w:pPr>
        <w:spacing w:line="360" w:lineRule="auto"/>
        <w:ind w:firstLine="643" w:firstLineChars="200"/>
        <w:outlineLvl w:val="1"/>
        <w:rPr>
          <w:rFonts w:ascii="楷体" w:hAnsi="楷体" w:eastAsia="楷体" w:cs="楷体"/>
          <w:b/>
          <w:bCs/>
          <w:sz w:val="32"/>
          <w:szCs w:val="32"/>
        </w:rPr>
      </w:pPr>
      <w:bookmarkStart w:id="80" w:name="_Toc71756579"/>
      <w:bookmarkStart w:id="81" w:name="_Toc684"/>
      <w:bookmarkStart w:id="82" w:name="_Toc31997"/>
      <w:bookmarkStart w:id="83" w:name="_Toc21236"/>
      <w:bookmarkStart w:id="84" w:name="_Toc8539"/>
      <w:bookmarkStart w:id="85" w:name="_Toc30796"/>
      <w:bookmarkStart w:id="86" w:name="_Toc18132"/>
      <w:bookmarkStart w:id="87" w:name="_Toc8153"/>
      <w:bookmarkStart w:id="88" w:name="_Toc15724"/>
      <w:r>
        <w:rPr>
          <w:rFonts w:hint="eastAsia" w:ascii="楷体" w:hAnsi="楷体" w:eastAsia="楷体" w:cs="楷体"/>
          <w:b/>
          <w:bCs/>
          <w:sz w:val="32"/>
          <w:szCs w:val="32"/>
        </w:rPr>
        <w:t>（二）</w:t>
      </w:r>
      <w:bookmarkEnd w:id="80"/>
      <w:r>
        <w:rPr>
          <w:rFonts w:hint="eastAsia" w:ascii="楷体" w:hAnsi="楷体" w:eastAsia="楷体" w:cs="楷体"/>
          <w:b/>
          <w:bCs/>
          <w:sz w:val="32"/>
          <w:szCs w:val="32"/>
        </w:rPr>
        <w:t>提高数字化应用水平</w:t>
      </w:r>
      <w:bookmarkEnd w:id="81"/>
      <w:bookmarkEnd w:id="82"/>
      <w:bookmarkEnd w:id="83"/>
      <w:bookmarkEnd w:id="84"/>
      <w:bookmarkEnd w:id="85"/>
      <w:bookmarkEnd w:id="86"/>
    </w:p>
    <w:p>
      <w:pPr>
        <w:ind w:firstLine="640" w:firstLineChars="200"/>
        <w:rPr>
          <w:rFonts w:ascii="仿宋" w:hAnsi="仿宋" w:eastAsia="仿宋_GB2312" w:cs="仿宋"/>
          <w:sz w:val="32"/>
          <w:szCs w:val="32"/>
          <w:shd w:val="clear" w:color="auto" w:fill="FFFFFF"/>
        </w:rPr>
      </w:pPr>
      <w:r>
        <w:rPr>
          <w:rFonts w:hint="eastAsia" w:ascii="仿宋" w:hAnsi="仿宋" w:eastAsia="仿宋_GB2312" w:cs="仿宋"/>
          <w:sz w:val="32"/>
          <w:szCs w:val="32"/>
          <w:shd w:val="clear" w:color="auto" w:fill="FFFFFF"/>
        </w:rPr>
        <w:t>以5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物联网、云计算、人工智能、区块链等新一代信息通信技术和数据要素为驱动力，加快数字基础设施供给侧结构性改革，拓展数字化生活、生产和社会治理等领域新应用，加快数字化服务产业生态建设，推动数字经济和经济社会深度融合。</w:t>
      </w:r>
    </w:p>
    <w:p>
      <w:pPr>
        <w:pStyle w:val="28"/>
        <w:ind w:left="643" w:firstLine="0" w:firstLineChars="0"/>
        <w:outlineLvl w:val="2"/>
        <w:rPr>
          <w:rFonts w:ascii="仿宋" w:hAnsi="仿宋" w:eastAsia="仿宋_GB2312" w:cs="仿宋"/>
          <w:sz w:val="32"/>
          <w:szCs w:val="32"/>
          <w:shd w:val="clear" w:color="auto" w:fill="FFFFFF"/>
        </w:rPr>
      </w:pPr>
      <w:bookmarkStart w:id="89" w:name="_Toc22127"/>
      <w:bookmarkStart w:id="90" w:name="_Toc31277"/>
      <w:bookmarkStart w:id="91" w:name="_Toc6689"/>
      <w:r>
        <w:rPr>
          <w:rFonts w:hint="eastAsia" w:ascii="仿宋" w:hAnsi="仿宋" w:eastAsia="仿宋_GB2312" w:cs="仿宋"/>
          <w:b/>
          <w:bCs/>
          <w:sz w:val="32"/>
          <w:szCs w:val="32"/>
        </w:rPr>
        <w:t>1.深化应用培育5</w:t>
      </w:r>
      <w:r>
        <w:rPr>
          <w:rFonts w:ascii="仿宋" w:hAnsi="仿宋" w:eastAsia="仿宋_GB2312" w:cs="仿宋"/>
          <w:b/>
          <w:bCs/>
          <w:sz w:val="32"/>
          <w:szCs w:val="32"/>
        </w:rPr>
        <w:t>G</w:t>
      </w:r>
      <w:r>
        <w:rPr>
          <w:rFonts w:hint="eastAsia" w:ascii="仿宋" w:hAnsi="仿宋" w:eastAsia="仿宋_GB2312" w:cs="仿宋"/>
          <w:b/>
          <w:bCs/>
          <w:sz w:val="32"/>
          <w:szCs w:val="32"/>
        </w:rPr>
        <w:t>新兴业态</w:t>
      </w:r>
      <w:bookmarkEnd w:id="89"/>
      <w:bookmarkEnd w:id="90"/>
      <w:bookmarkEnd w:id="91"/>
    </w:p>
    <w:p>
      <w:pPr>
        <w:widowControl/>
        <w:ind w:firstLine="643" w:firstLineChars="200"/>
        <w:jc w:val="left"/>
        <w:rPr>
          <w:rFonts w:ascii="仿宋" w:hAnsi="仿宋" w:eastAsia="仿宋_GB2312" w:cs="仿宋"/>
          <w:sz w:val="32"/>
          <w:szCs w:val="32"/>
          <w:shd w:val="clear" w:color="auto" w:fill="FFFFFF"/>
        </w:rPr>
      </w:pPr>
      <w:r>
        <w:rPr>
          <w:rFonts w:hint="eastAsia" w:ascii="仿宋" w:hAnsi="仿宋" w:eastAsia="仿宋_GB2312" w:cs="仿宋"/>
          <w:b/>
          <w:bCs/>
          <w:sz w:val="32"/>
          <w:szCs w:val="32"/>
          <w:shd w:val="clear" w:color="auto" w:fill="FFFFFF"/>
        </w:rPr>
        <w:t>加强5</w:t>
      </w:r>
      <w:r>
        <w:rPr>
          <w:rFonts w:ascii="仿宋" w:hAnsi="仿宋" w:eastAsia="仿宋_GB2312" w:cs="仿宋"/>
          <w:b/>
          <w:bCs/>
          <w:sz w:val="32"/>
          <w:szCs w:val="32"/>
          <w:shd w:val="clear" w:color="auto" w:fill="FFFFFF"/>
        </w:rPr>
        <w:t>G</w:t>
      </w:r>
      <w:r>
        <w:rPr>
          <w:rFonts w:hint="eastAsia" w:ascii="仿宋" w:hAnsi="仿宋" w:eastAsia="仿宋_GB2312" w:cs="仿宋"/>
          <w:b/>
          <w:bCs/>
          <w:sz w:val="32"/>
          <w:szCs w:val="32"/>
          <w:shd w:val="clear" w:color="auto" w:fill="FFFFFF"/>
        </w:rPr>
        <w:t>产业基础能力建设。</w:t>
      </w:r>
      <w:r>
        <w:rPr>
          <w:rFonts w:hint="eastAsia" w:ascii="仿宋" w:hAnsi="仿宋" w:eastAsia="仿宋_GB2312" w:cs="仿宋"/>
          <w:sz w:val="32"/>
          <w:szCs w:val="32"/>
          <w:shd w:val="clear" w:color="auto" w:fill="FFFFFF"/>
        </w:rPr>
        <w:t>丰富5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芯片、终端、模组、网关等产品种类，分阶段开展技术、产业化和应用导入工作，加快可穿戴设备、智能家居产品、超高清视频终端等新型消费终端普及。</w:t>
      </w:r>
    </w:p>
    <w:p>
      <w:pPr>
        <w:widowControl/>
        <w:ind w:firstLine="643" w:firstLineChars="200"/>
        <w:jc w:val="left"/>
        <w:rPr>
          <w:rFonts w:ascii="仿宋" w:hAnsi="仿宋" w:eastAsia="仿宋_GB2312" w:cs="仿宋"/>
          <w:sz w:val="32"/>
          <w:szCs w:val="32"/>
          <w:shd w:val="clear" w:color="auto" w:fill="FFFFFF"/>
        </w:rPr>
      </w:pPr>
      <w:r>
        <w:rPr>
          <w:rFonts w:hint="eastAsia" w:ascii="仿宋" w:hAnsi="仿宋" w:eastAsia="仿宋_GB2312" w:cs="仿宋"/>
          <w:b/>
          <w:bCs/>
          <w:sz w:val="32"/>
          <w:szCs w:val="32"/>
          <w:shd w:val="clear" w:color="auto" w:fill="FFFFFF"/>
        </w:rPr>
        <w:t>加快跨领域融合创新发展。</w:t>
      </w:r>
      <w:r>
        <w:rPr>
          <w:rFonts w:hint="eastAsia" w:ascii="仿宋" w:hAnsi="仿宋" w:eastAsia="仿宋_GB2312" w:cs="仿宋"/>
          <w:sz w:val="32"/>
          <w:szCs w:val="32"/>
          <w:shd w:val="clear" w:color="auto" w:fill="FFFFFF"/>
        </w:rPr>
        <w:t>支撑电信运营、通信设备、垂直行业、信息技术、互联网等企业结合自身优势，开展5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融合应用技术创新、集成创新、服务创新和数据应用创新，打造一批既懂5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又懂行业的应用解决方案供应商，支撑千行百业数字化转型。</w:t>
      </w:r>
    </w:p>
    <w:p>
      <w:pPr>
        <w:widowControl/>
        <w:ind w:firstLine="643" w:firstLineChars="200"/>
        <w:jc w:val="left"/>
        <w:rPr>
          <w:rFonts w:ascii="仿宋" w:hAnsi="仿宋" w:eastAsia="仿宋_GB2312" w:cs="仿宋"/>
          <w:sz w:val="32"/>
          <w:szCs w:val="32"/>
          <w:shd w:val="clear" w:color="auto" w:fill="FFFFFF"/>
        </w:rPr>
      </w:pPr>
      <w:r>
        <w:rPr>
          <w:rFonts w:hint="eastAsia" w:ascii="仿宋" w:hAnsi="仿宋" w:eastAsia="仿宋_GB2312" w:cs="仿宋"/>
          <w:b/>
          <w:bCs/>
          <w:sz w:val="32"/>
          <w:szCs w:val="32"/>
          <w:shd w:val="clear" w:color="auto" w:fill="FFFFFF"/>
        </w:rPr>
        <w:t>推动5</w:t>
      </w:r>
      <w:r>
        <w:rPr>
          <w:rFonts w:ascii="仿宋" w:hAnsi="仿宋" w:eastAsia="仿宋_GB2312" w:cs="仿宋"/>
          <w:b/>
          <w:bCs/>
          <w:sz w:val="32"/>
          <w:szCs w:val="32"/>
          <w:shd w:val="clear" w:color="auto" w:fill="FFFFFF"/>
        </w:rPr>
        <w:t>G</w:t>
      </w:r>
      <w:r>
        <w:rPr>
          <w:rFonts w:hint="eastAsia" w:ascii="仿宋" w:hAnsi="仿宋" w:eastAsia="仿宋_GB2312" w:cs="仿宋"/>
          <w:b/>
          <w:bCs/>
          <w:sz w:val="32"/>
          <w:szCs w:val="32"/>
          <w:shd w:val="clear" w:color="auto" w:fill="FFFFFF"/>
        </w:rPr>
        <w:t>规模化融合应用。</w:t>
      </w:r>
      <w:r>
        <w:rPr>
          <w:rFonts w:hint="eastAsia" w:ascii="仿宋" w:hAnsi="仿宋" w:eastAsia="仿宋_GB2312" w:cs="仿宋"/>
          <w:sz w:val="32"/>
          <w:szCs w:val="32"/>
          <w:shd w:val="clear" w:color="auto" w:fill="FFFFFF"/>
        </w:rPr>
        <w:t>结合我省区域特色和行业优势，鼓励和支持开发5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应用场景，打造湖南特色应用落地。以“三市两山”为重点，打造协同效应显著、辐射带动能力强、商业模式清晰的5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应用创新引领示范区，以点带面纵深推进重点行业的规模化应用。</w:t>
      </w:r>
    </w:p>
    <w:p>
      <w:pPr>
        <w:widowControl/>
        <w:ind w:firstLine="643" w:firstLineChars="200"/>
        <w:jc w:val="left"/>
        <w:rPr>
          <w:rFonts w:ascii="仿宋" w:hAnsi="仿宋" w:eastAsia="仿宋" w:cs="仿宋"/>
          <w:sz w:val="32"/>
          <w:szCs w:val="32"/>
          <w:shd w:val="clear" w:color="auto" w:fill="FFFFFF"/>
        </w:rPr>
      </w:pPr>
      <w:r>
        <w:rPr>
          <w:rFonts w:hint="eastAsia" w:ascii="仿宋" w:hAnsi="仿宋" w:eastAsia="仿宋_GB2312" w:cs="仿宋"/>
          <w:b/>
          <w:bCs/>
          <w:sz w:val="32"/>
          <w:szCs w:val="32"/>
          <w:shd w:val="clear" w:color="auto" w:fill="FFFFFF"/>
        </w:rPr>
        <w:t>强化5</w:t>
      </w:r>
      <w:r>
        <w:rPr>
          <w:rFonts w:ascii="仿宋" w:hAnsi="仿宋" w:eastAsia="仿宋_GB2312" w:cs="仿宋"/>
          <w:b/>
          <w:bCs/>
          <w:sz w:val="32"/>
          <w:szCs w:val="32"/>
          <w:shd w:val="clear" w:color="auto" w:fill="FFFFFF"/>
        </w:rPr>
        <w:t>G</w:t>
      </w:r>
      <w:r>
        <w:rPr>
          <w:rFonts w:hint="eastAsia" w:ascii="仿宋" w:hAnsi="仿宋" w:eastAsia="仿宋_GB2312" w:cs="仿宋"/>
          <w:b/>
          <w:bCs/>
          <w:sz w:val="32"/>
          <w:szCs w:val="32"/>
          <w:shd w:val="clear" w:color="auto" w:fill="FFFFFF"/>
        </w:rPr>
        <w:t>应用共性技术平台支撑。</w:t>
      </w:r>
      <w:r>
        <w:rPr>
          <w:rFonts w:hint="eastAsia" w:ascii="仿宋" w:hAnsi="仿宋" w:eastAsia="仿宋_GB2312" w:cs="仿宋"/>
          <w:sz w:val="32"/>
          <w:szCs w:val="32"/>
          <w:shd w:val="clear" w:color="auto" w:fill="FFFFFF"/>
        </w:rPr>
        <w:t>面向工业制造、交通、医疗等重点领域的关键共性技术需求，开展5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行业应用关键技术联合攻关，建设重点行业共性技术平台。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659" w:type="dxa"/>
          </w:tcPr>
          <w:p>
            <w:pPr>
              <w:ind w:firstLine="562" w:firstLineChars="200"/>
              <w:jc w:val="center"/>
              <w:rPr>
                <w:rFonts w:ascii="楷体" w:hAnsi="楷体" w:eastAsia="楷体" w:cs="楷体"/>
                <w:sz w:val="28"/>
                <w:szCs w:val="28"/>
              </w:rPr>
            </w:pPr>
            <w:r>
              <w:rPr>
                <w:rFonts w:hint="eastAsia" w:ascii="楷体" w:hAnsi="楷体" w:eastAsia="楷体" w:cs="楷体"/>
                <w:b/>
                <w:bCs/>
                <w:sz w:val="28"/>
                <w:szCs w:val="28"/>
              </w:rPr>
              <w:t>重点工程</w:t>
            </w:r>
            <w:r>
              <w:rPr>
                <w:rFonts w:hint="eastAsia" w:ascii="楷体" w:hAnsi="楷体" w:eastAsia="楷体" w:cs="楷体"/>
                <w:b/>
                <w:bCs/>
                <w:sz w:val="28"/>
                <w:szCs w:val="28"/>
                <w:lang w:val="en-US" w:eastAsia="zh-CN"/>
              </w:rPr>
              <w:t>7</w:t>
            </w:r>
            <w:r>
              <w:rPr>
                <w:rFonts w:hint="eastAsia" w:ascii="楷体" w:hAnsi="楷体" w:eastAsia="楷体" w:cs="楷体"/>
                <w:b/>
                <w:bCs/>
                <w:sz w:val="28"/>
                <w:szCs w:val="28"/>
              </w:rPr>
              <w:t>：5G 应用创新生态培育示范工程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9" w:type="dxa"/>
          </w:tcPr>
          <w:p>
            <w:pPr>
              <w:ind w:firstLine="562" w:firstLineChars="200"/>
              <w:rPr>
                <w:rFonts w:ascii="楷体" w:hAnsi="楷体" w:eastAsia="楷体" w:cs="楷体"/>
                <w:sz w:val="28"/>
                <w:szCs w:val="28"/>
              </w:rPr>
            </w:pPr>
            <w:r>
              <w:rPr>
                <w:rFonts w:hint="eastAsia" w:ascii="楷体" w:hAnsi="楷体" w:eastAsia="楷体" w:cs="楷体"/>
                <w:b/>
                <w:sz w:val="28"/>
                <w:szCs w:val="28"/>
              </w:rPr>
              <w:t>工程目标：</w:t>
            </w:r>
            <w:r>
              <w:rPr>
                <w:rFonts w:hint="eastAsia" w:ascii="楷体" w:hAnsi="楷体" w:eastAsia="楷体" w:cs="楷体"/>
                <w:bCs/>
                <w:sz w:val="28"/>
                <w:szCs w:val="28"/>
              </w:rPr>
              <w:t>引导行业用户、ICT企业等各方共同参与5G行业应用，建立5G融合应用生态体系。</w:t>
            </w:r>
          </w:p>
          <w:p>
            <w:pPr>
              <w:ind w:firstLine="562" w:firstLineChars="200"/>
              <w:rPr>
                <w:rFonts w:ascii="楷体" w:hAnsi="楷体" w:eastAsia="楷体" w:cs="楷体"/>
                <w:sz w:val="28"/>
                <w:szCs w:val="28"/>
              </w:rPr>
            </w:pPr>
            <w:r>
              <w:rPr>
                <w:rFonts w:hint="eastAsia" w:ascii="楷体" w:hAnsi="楷体" w:eastAsia="楷体" w:cs="楷体"/>
                <w:b/>
                <w:sz w:val="28"/>
                <w:szCs w:val="28"/>
              </w:rPr>
              <w:t>工程内容：</w:t>
            </w:r>
            <w:r>
              <w:rPr>
                <w:rFonts w:hint="eastAsia" w:ascii="楷体" w:hAnsi="楷体" w:eastAsia="楷体" w:cs="楷体"/>
                <w:bCs/>
                <w:sz w:val="28"/>
                <w:szCs w:val="28"/>
              </w:rPr>
              <w:t>一是培育5</w:t>
            </w:r>
            <w:r>
              <w:rPr>
                <w:rFonts w:ascii="楷体" w:hAnsi="楷体" w:eastAsia="楷体" w:cs="楷体"/>
                <w:bCs/>
                <w:sz w:val="28"/>
                <w:szCs w:val="28"/>
              </w:rPr>
              <w:t>G</w:t>
            </w:r>
            <w:r>
              <w:rPr>
                <w:rFonts w:hint="eastAsia" w:ascii="楷体" w:hAnsi="楷体" w:eastAsia="楷体" w:cs="楷体"/>
                <w:bCs/>
                <w:sz w:val="28"/>
                <w:szCs w:val="28"/>
              </w:rPr>
              <w:t>解决方案供应商，推动龙头企业发挥技术和市场优势，面向重点行业推出5</w:t>
            </w:r>
            <w:r>
              <w:rPr>
                <w:rFonts w:ascii="楷体" w:hAnsi="楷体" w:eastAsia="楷体" w:cs="楷体"/>
                <w:bCs/>
                <w:sz w:val="28"/>
                <w:szCs w:val="28"/>
              </w:rPr>
              <w:t>G</w:t>
            </w:r>
            <w:r>
              <w:rPr>
                <w:rFonts w:hint="eastAsia" w:ascii="楷体" w:hAnsi="楷体" w:eastAsia="楷体" w:cs="楷体"/>
                <w:bCs/>
                <w:sz w:val="28"/>
                <w:szCs w:val="28"/>
              </w:rPr>
              <w:t>应用整体解决方案和集成产品，形成一批围绕重点行业细分场景的5</w:t>
            </w:r>
            <w:r>
              <w:rPr>
                <w:rFonts w:ascii="楷体" w:hAnsi="楷体" w:eastAsia="楷体" w:cs="楷体"/>
                <w:bCs/>
                <w:sz w:val="28"/>
                <w:szCs w:val="28"/>
              </w:rPr>
              <w:t>G</w:t>
            </w:r>
            <w:r>
              <w:rPr>
                <w:rFonts w:hint="eastAsia" w:ascii="楷体" w:hAnsi="楷体" w:eastAsia="楷体" w:cs="楷体"/>
                <w:bCs/>
                <w:sz w:val="28"/>
                <w:szCs w:val="28"/>
              </w:rPr>
              <w:t>应用解决方案供应商</w:t>
            </w:r>
            <w:r>
              <w:rPr>
                <w:rFonts w:hint="eastAsia" w:ascii="楷体" w:hAnsi="楷体" w:eastAsia="楷体" w:cs="楷体"/>
                <w:bCs/>
                <w:sz w:val="28"/>
                <w:szCs w:val="28"/>
                <w:lang w:eastAsia="zh-CN"/>
              </w:rPr>
              <w:t>；</w:t>
            </w:r>
            <w:r>
              <w:rPr>
                <w:rFonts w:hint="eastAsia" w:ascii="楷体" w:hAnsi="楷体" w:eastAsia="楷体" w:cs="楷体"/>
                <w:bCs/>
                <w:sz w:val="28"/>
                <w:szCs w:val="28"/>
              </w:rPr>
              <w:t>二是打造行业龙头示范标杆，发挥重点行业龙头企业需求导向和资源整合作用，打通5</w:t>
            </w:r>
            <w:r>
              <w:rPr>
                <w:rFonts w:ascii="楷体" w:hAnsi="楷体" w:eastAsia="楷体" w:cs="楷体"/>
                <w:bCs/>
                <w:sz w:val="28"/>
                <w:szCs w:val="28"/>
              </w:rPr>
              <w:t>G</w:t>
            </w:r>
            <w:r>
              <w:rPr>
                <w:rFonts w:hint="eastAsia" w:ascii="楷体" w:hAnsi="楷体" w:eastAsia="楷体" w:cs="楷体"/>
                <w:bCs/>
                <w:sz w:val="28"/>
                <w:szCs w:val="28"/>
              </w:rPr>
              <w:t>应用关键环节，打造一批5</w:t>
            </w:r>
            <w:r>
              <w:rPr>
                <w:rFonts w:ascii="楷体" w:hAnsi="楷体" w:eastAsia="楷体" w:cs="楷体"/>
                <w:bCs/>
                <w:sz w:val="28"/>
                <w:szCs w:val="28"/>
              </w:rPr>
              <w:t>G</w:t>
            </w:r>
            <w:r>
              <w:rPr>
                <w:rFonts w:hint="eastAsia" w:ascii="楷体" w:hAnsi="楷体" w:eastAsia="楷体" w:cs="楷体"/>
                <w:bCs/>
                <w:sz w:val="28"/>
                <w:szCs w:val="28"/>
              </w:rPr>
              <w:t>应用标杆案例，示范引领5</w:t>
            </w:r>
            <w:r>
              <w:rPr>
                <w:rFonts w:ascii="楷体" w:hAnsi="楷体" w:eastAsia="楷体" w:cs="楷体"/>
                <w:bCs/>
                <w:sz w:val="28"/>
                <w:szCs w:val="28"/>
              </w:rPr>
              <w:t>G</w:t>
            </w:r>
            <w:r>
              <w:rPr>
                <w:rFonts w:hint="eastAsia" w:ascii="楷体" w:hAnsi="楷体" w:eastAsia="楷体" w:cs="楷体"/>
                <w:bCs/>
                <w:sz w:val="28"/>
                <w:szCs w:val="28"/>
              </w:rPr>
              <w:t>规模应用</w:t>
            </w:r>
            <w:r>
              <w:rPr>
                <w:rFonts w:hint="eastAsia" w:ascii="楷体" w:hAnsi="楷体" w:eastAsia="楷体" w:cs="楷体"/>
                <w:bCs/>
                <w:sz w:val="28"/>
                <w:szCs w:val="28"/>
                <w:lang w:eastAsia="zh-CN"/>
              </w:rPr>
              <w:t>；</w:t>
            </w:r>
            <w:r>
              <w:rPr>
                <w:rFonts w:hint="eastAsia" w:ascii="楷体" w:hAnsi="楷体" w:eastAsia="楷体" w:cs="楷体"/>
                <w:bCs/>
                <w:sz w:val="28"/>
                <w:szCs w:val="28"/>
              </w:rPr>
              <w:t>三是创建5</w:t>
            </w:r>
            <w:r>
              <w:rPr>
                <w:rFonts w:ascii="楷体" w:hAnsi="楷体" w:eastAsia="楷体" w:cs="楷体"/>
                <w:bCs/>
                <w:sz w:val="28"/>
                <w:szCs w:val="28"/>
              </w:rPr>
              <w:t>G</w:t>
            </w:r>
            <w:r>
              <w:rPr>
                <w:rFonts w:hint="eastAsia" w:ascii="楷体" w:hAnsi="楷体" w:eastAsia="楷体" w:cs="楷体"/>
                <w:bCs/>
                <w:sz w:val="28"/>
                <w:szCs w:val="28"/>
              </w:rPr>
              <w:t>应用创新引领区，激发各地创新活力，积极开展创新政策试点示范，探索5</w:t>
            </w:r>
            <w:r>
              <w:rPr>
                <w:rFonts w:ascii="楷体" w:hAnsi="楷体" w:eastAsia="楷体" w:cs="楷体"/>
                <w:bCs/>
                <w:sz w:val="28"/>
                <w:szCs w:val="28"/>
              </w:rPr>
              <w:t>G</w:t>
            </w:r>
            <w:r>
              <w:rPr>
                <w:rFonts w:hint="eastAsia" w:ascii="楷体" w:hAnsi="楷体" w:eastAsia="楷体" w:cs="楷体"/>
                <w:bCs/>
                <w:sz w:val="28"/>
                <w:szCs w:val="28"/>
              </w:rPr>
              <w:t>网络建设和应用发展新模式，以“三市两山”为重点打造一批5</w:t>
            </w:r>
            <w:r>
              <w:rPr>
                <w:rFonts w:ascii="楷体" w:hAnsi="楷体" w:eastAsia="楷体" w:cs="楷体"/>
                <w:bCs/>
                <w:sz w:val="28"/>
                <w:szCs w:val="28"/>
              </w:rPr>
              <w:t>G</w:t>
            </w:r>
            <w:r>
              <w:rPr>
                <w:rFonts w:hint="eastAsia" w:ascii="楷体" w:hAnsi="楷体" w:eastAsia="楷体" w:cs="楷体"/>
                <w:bCs/>
                <w:sz w:val="28"/>
                <w:szCs w:val="28"/>
              </w:rPr>
              <w:t>应用示范基地，并总结模式经验，大力推广</w:t>
            </w:r>
            <w:r>
              <w:rPr>
                <w:rFonts w:hint="eastAsia" w:ascii="楷体" w:hAnsi="楷体" w:eastAsia="楷体" w:cs="楷体"/>
                <w:bCs/>
                <w:sz w:val="28"/>
                <w:szCs w:val="28"/>
                <w:lang w:eastAsia="zh-CN"/>
              </w:rPr>
              <w:t>；</w:t>
            </w:r>
            <w:r>
              <w:rPr>
                <w:rFonts w:hint="eastAsia" w:ascii="楷体" w:hAnsi="楷体" w:eastAsia="楷体" w:cs="楷体"/>
                <w:bCs/>
                <w:sz w:val="28"/>
                <w:szCs w:val="28"/>
              </w:rPr>
              <w:t>四是推进5G应用共性技术平台建设，面</w:t>
            </w:r>
            <w:r>
              <w:rPr>
                <w:rFonts w:hint="eastAsia" w:ascii="楷体" w:hAnsi="楷体" w:eastAsia="楷体" w:cs="楷体"/>
                <w:sz w:val="28"/>
                <w:szCs w:val="28"/>
              </w:rPr>
              <w:t>向5</w:t>
            </w:r>
            <w:r>
              <w:rPr>
                <w:rFonts w:ascii="楷体" w:hAnsi="楷体" w:eastAsia="楷体" w:cs="楷体"/>
                <w:sz w:val="28"/>
                <w:szCs w:val="28"/>
              </w:rPr>
              <w:t>G</w:t>
            </w:r>
            <w:r>
              <w:rPr>
                <w:rFonts w:hint="eastAsia" w:ascii="楷体" w:hAnsi="楷体" w:eastAsia="楷体" w:cs="楷体"/>
                <w:sz w:val="28"/>
                <w:szCs w:val="28"/>
              </w:rPr>
              <w:t>应用重点行业，重点支持建设与5G结合的室外北斗高精度定位、室内5G蜂窝独立定位、人工智能、超高清视频、AR/VR等共性技术平台，提供跨行业5G应用基础能力。</w:t>
            </w:r>
          </w:p>
        </w:tc>
      </w:tr>
    </w:tbl>
    <w:p>
      <w:pPr>
        <w:pStyle w:val="28"/>
        <w:ind w:left="643" w:firstLine="0" w:firstLineChars="0"/>
        <w:outlineLvl w:val="2"/>
        <w:rPr>
          <w:rFonts w:ascii="仿宋" w:hAnsi="仿宋" w:eastAsia="仿宋_GB2312" w:cs="仿宋"/>
          <w:sz w:val="32"/>
          <w:szCs w:val="32"/>
          <w:shd w:val="clear" w:color="auto" w:fill="FFFFFF"/>
        </w:rPr>
      </w:pPr>
      <w:bookmarkStart w:id="92" w:name="_Toc22650"/>
      <w:bookmarkStart w:id="93" w:name="_Toc903"/>
      <w:bookmarkStart w:id="94" w:name="_Toc25597"/>
      <w:r>
        <w:rPr>
          <w:rFonts w:hint="eastAsia" w:ascii="仿宋" w:hAnsi="仿宋" w:eastAsia="仿宋_GB2312" w:cs="仿宋"/>
          <w:b/>
          <w:bCs/>
          <w:sz w:val="32"/>
          <w:szCs w:val="32"/>
          <w:shd w:val="clear" w:color="auto" w:fill="FFFFFF"/>
        </w:rPr>
        <w:t>2.创新应用引领美好数字生活</w:t>
      </w:r>
      <w:bookmarkEnd w:id="92"/>
      <w:bookmarkEnd w:id="93"/>
      <w:bookmarkEnd w:id="94"/>
    </w:p>
    <w:p>
      <w:pPr>
        <w:ind w:firstLine="640" w:firstLineChars="200"/>
        <w:rPr>
          <w:rFonts w:ascii="仿宋" w:hAnsi="仿宋" w:eastAsia="仿宋_GB2312" w:cs="仿宋"/>
          <w:sz w:val="32"/>
          <w:szCs w:val="32"/>
          <w:shd w:val="clear" w:color="auto" w:fill="FFFFFF"/>
        </w:rPr>
      </w:pPr>
      <w:r>
        <w:rPr>
          <w:rFonts w:hint="eastAsia" w:ascii="仿宋" w:hAnsi="仿宋" w:eastAsia="仿宋_GB2312" w:cs="仿宋"/>
          <w:sz w:val="32"/>
          <w:szCs w:val="32"/>
          <w:shd w:val="clear" w:color="auto" w:fill="FFFFFF"/>
        </w:rPr>
        <w:t>研发推广基于5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、移动物联网、人工智能的新型应用和产品，推进生活性服务融合化、智能化，打造一批“5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+”新型消费的新业务、新模式、新业态，显著提升用户获得感。打通服务人民群众的“最后一公里”，面向个人生活场景，丰富A</w:t>
      </w:r>
      <w:r>
        <w:rPr>
          <w:rFonts w:ascii="仿宋" w:hAnsi="仿宋" w:eastAsia="仿宋_GB2312" w:cs="仿宋"/>
          <w:sz w:val="32"/>
          <w:szCs w:val="32"/>
          <w:shd w:val="clear" w:color="auto" w:fill="FFFFFF"/>
        </w:rPr>
        <w:t>R/VR</w:t>
      </w:r>
      <w:r>
        <w:rPr>
          <w:rFonts w:hint="eastAsia" w:ascii="仿宋" w:hAnsi="仿宋" w:eastAsia="仿宋_GB2312" w:cs="仿宋"/>
          <w:sz w:val="32"/>
          <w:szCs w:val="32"/>
          <w:shd w:val="clear" w:color="auto" w:fill="FFFFFF"/>
        </w:rPr>
        <w:t>、空间视频、超高清等5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服务，推动智能家居、智慧教育、智慧医疗、智慧出行、智慧文旅等快速发展，促进数字消费不断升级，打造数字生活新服务。推进智慧城市建设，支持城市公用设施物联网应用和智能化改造，推动打造绿色低碳、宜居宜业城市环境。支撑数字农业、数字乡村建设，升级电商、培训等数字益农服务，提升数字时代农村群众的获得感、幸福感。</w:t>
      </w:r>
    </w:p>
    <w:p>
      <w:pPr>
        <w:pStyle w:val="28"/>
        <w:ind w:left="643" w:firstLine="0" w:firstLineChars="0"/>
        <w:outlineLvl w:val="2"/>
        <w:rPr>
          <w:rFonts w:ascii="仿宋" w:hAnsi="仿宋" w:eastAsia="仿宋_GB2312" w:cs="仿宋"/>
          <w:sz w:val="32"/>
          <w:szCs w:val="32"/>
          <w:shd w:val="clear" w:color="auto" w:fill="FFFFFF"/>
        </w:rPr>
      </w:pPr>
      <w:bookmarkStart w:id="95" w:name="_Toc22995"/>
      <w:bookmarkStart w:id="96" w:name="_Toc27511"/>
      <w:bookmarkStart w:id="97" w:name="_Toc16423"/>
      <w:r>
        <w:rPr>
          <w:rFonts w:hint="eastAsia" w:ascii="仿宋" w:hAnsi="仿宋" w:eastAsia="仿宋_GB2312" w:cs="仿宋"/>
          <w:b/>
          <w:bCs/>
          <w:sz w:val="32"/>
          <w:szCs w:val="32"/>
          <w:shd w:val="clear" w:color="auto" w:fill="FFFFFF"/>
        </w:rPr>
        <w:t>3.融合赋能推动高质量数字生产</w:t>
      </w:r>
      <w:bookmarkEnd w:id="95"/>
      <w:bookmarkEnd w:id="96"/>
      <w:bookmarkEnd w:id="97"/>
    </w:p>
    <w:p>
      <w:pPr>
        <w:ind w:firstLine="640" w:firstLineChars="200"/>
        <w:rPr>
          <w:rFonts w:ascii="仿宋" w:hAnsi="仿宋" w:eastAsia="仿宋_GB2312" w:cs="仿宋"/>
          <w:sz w:val="32"/>
          <w:szCs w:val="32"/>
          <w:shd w:val="clear" w:color="auto" w:fill="FFFFFF"/>
        </w:rPr>
      </w:pPr>
      <w:r>
        <w:rPr>
          <w:rFonts w:hint="eastAsia" w:ascii="仿宋" w:hAnsi="仿宋" w:eastAsia="仿宋_GB2312" w:cs="仿宋"/>
          <w:sz w:val="32"/>
          <w:szCs w:val="32"/>
          <w:shd w:val="clear" w:color="auto" w:fill="FFFFFF"/>
        </w:rPr>
        <w:t>依托5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等信息基础设施，加快物联网、大数据、人工智能、区块链等新技术在实体经济中深度应用，促进智能制造和服务型制造深入发展。支持互联网企业在省内打造平台生态，在省内培育一批数字化解决方案服务商。持续推进省内工业互联网建设，打造工业互联网供给体系，加快工业互联网应用普及，推动低成本、模块化工业互联网设备和系统部署应用，依托工业互联网平台加速产业链聚集和产业优化升级。聚焦工程机械、轨道交通、中小航空发动机等重点行业，建设一批智慧工厂，推进</w:t>
      </w:r>
      <w:r>
        <w:rPr>
          <w:rFonts w:hint="eastAsia" w:ascii="仿宋" w:hAnsi="仿宋" w:eastAsia="仿宋_GB2312" w:cs="仿宋"/>
          <w:sz w:val="32"/>
          <w:szCs w:val="32"/>
          <w:shd w:val="clear" w:color="auto" w:fill="FFFFFF"/>
          <w:lang w:eastAsia="zh-CN"/>
        </w:rPr>
        <w:t>信息通信与</w:t>
      </w:r>
      <w:r>
        <w:rPr>
          <w:rFonts w:hint="eastAsia" w:ascii="仿宋" w:hAnsi="仿宋" w:eastAsia="仿宋_GB2312" w:cs="仿宋"/>
          <w:sz w:val="32"/>
          <w:szCs w:val="32"/>
          <w:shd w:val="clear" w:color="auto" w:fill="FFFFFF"/>
        </w:rPr>
        <w:t>制造</w:t>
      </w:r>
      <w:r>
        <w:rPr>
          <w:rFonts w:hint="eastAsia" w:ascii="仿宋" w:hAnsi="仿宋" w:eastAsia="仿宋_GB2312" w:cs="仿宋"/>
          <w:sz w:val="32"/>
          <w:szCs w:val="32"/>
          <w:shd w:val="clear" w:color="auto" w:fill="FFFFFF"/>
          <w:lang w:eastAsia="zh-CN"/>
        </w:rPr>
        <w:t>业</w:t>
      </w:r>
      <w:r>
        <w:rPr>
          <w:rFonts w:hint="eastAsia" w:ascii="仿宋" w:hAnsi="仿宋" w:eastAsia="仿宋_GB2312" w:cs="仿宋"/>
          <w:sz w:val="32"/>
          <w:szCs w:val="32"/>
          <w:shd w:val="clear" w:color="auto" w:fill="FFFFFF"/>
        </w:rPr>
        <w:t>深入</w:t>
      </w:r>
      <w:r>
        <w:rPr>
          <w:rFonts w:hint="eastAsia" w:ascii="仿宋" w:hAnsi="仿宋" w:eastAsia="仿宋_GB2312" w:cs="仿宋"/>
          <w:sz w:val="32"/>
          <w:szCs w:val="32"/>
          <w:shd w:val="clear" w:color="auto" w:fill="FFFFFF"/>
          <w:lang w:eastAsia="zh-CN"/>
        </w:rPr>
        <w:t>融合</w:t>
      </w:r>
      <w:r>
        <w:rPr>
          <w:rFonts w:hint="eastAsia" w:ascii="仿宋" w:hAnsi="仿宋" w:eastAsia="仿宋_GB2312" w:cs="仿宋"/>
          <w:sz w:val="32"/>
          <w:szCs w:val="32"/>
          <w:shd w:val="clear" w:color="auto" w:fill="FFFFFF"/>
        </w:rPr>
        <w:t>。通过信息技术和数据与行业深度融合发展，推进交通、物流、口岸、矿业、电力、农业、水利等行业智慧化发展，形成湖南特色的产业聚集区、创新示范区。</w:t>
      </w:r>
    </w:p>
    <w:p>
      <w:pPr>
        <w:pStyle w:val="28"/>
        <w:ind w:left="643" w:firstLine="0" w:firstLineChars="0"/>
        <w:outlineLvl w:val="2"/>
        <w:rPr>
          <w:rFonts w:ascii="仿宋" w:hAnsi="仿宋" w:eastAsia="仿宋_GB2312" w:cs="仿宋"/>
          <w:sz w:val="32"/>
          <w:szCs w:val="32"/>
          <w:shd w:val="clear" w:color="auto" w:fill="FFFFFF"/>
        </w:rPr>
      </w:pPr>
      <w:bookmarkStart w:id="98" w:name="_Toc7452"/>
      <w:bookmarkStart w:id="99" w:name="_Toc26506"/>
      <w:bookmarkStart w:id="100" w:name="_Toc15257"/>
      <w:r>
        <w:rPr>
          <w:rFonts w:hint="eastAsia" w:ascii="仿宋" w:hAnsi="仿宋" w:eastAsia="仿宋_GB2312" w:cs="仿宋"/>
          <w:b/>
          <w:bCs/>
          <w:sz w:val="32"/>
          <w:szCs w:val="32"/>
          <w:shd w:val="clear" w:color="auto" w:fill="FFFFFF"/>
        </w:rPr>
        <w:t>4.数字使能推进社会智慧治理</w:t>
      </w:r>
      <w:bookmarkEnd w:id="98"/>
      <w:bookmarkEnd w:id="99"/>
      <w:bookmarkEnd w:id="100"/>
    </w:p>
    <w:p>
      <w:pPr>
        <w:widowControl/>
        <w:spacing w:line="360" w:lineRule="auto"/>
        <w:ind w:firstLine="640" w:firstLineChars="200"/>
        <w:rPr>
          <w:rFonts w:ascii="仿宋" w:hAnsi="仿宋" w:eastAsia="仿宋_GB2312" w:cs="仿宋"/>
          <w:color w:val="FF0000"/>
          <w:sz w:val="32"/>
          <w:szCs w:val="32"/>
          <w:shd w:val="clear" w:color="auto" w:fill="FFFFFF"/>
        </w:rPr>
      </w:pPr>
      <w:r>
        <w:rPr>
          <w:rFonts w:hint="eastAsia" w:ascii="仿宋" w:hAnsi="仿宋" w:eastAsia="仿宋_GB2312" w:cs="仿宋"/>
          <w:sz w:val="32"/>
          <w:szCs w:val="32"/>
          <w:shd w:val="clear" w:color="auto" w:fill="FFFFFF"/>
        </w:rPr>
        <w:t>统筹数字技术应用，强化信息通信基础设施为城市数据算力、公共服务、社会治理赋能，推进社会治理体系和治理能力现代化。鼓励企业积极参与数字社会、数字政府建设，提升公共服务、社会治理等数字化、智能化水平。推广5</w:t>
      </w:r>
      <w:r>
        <w:rPr>
          <w:rFonts w:ascii="仿宋" w:hAnsi="仿宋" w:eastAsia="仿宋_GB2312" w:cs="仿宋"/>
          <w:sz w:val="32"/>
          <w:szCs w:val="32"/>
          <w:shd w:val="clear" w:color="auto" w:fill="FFFFFF"/>
        </w:rPr>
        <w:t>G</w:t>
      </w:r>
      <w:r>
        <w:rPr>
          <w:rFonts w:hint="eastAsia" w:ascii="仿宋" w:hAnsi="仿宋" w:eastAsia="仿宋_GB2312" w:cs="仿宋"/>
          <w:sz w:val="32"/>
          <w:szCs w:val="32"/>
          <w:shd w:val="clear" w:color="auto" w:fill="FFFFFF"/>
        </w:rPr>
        <w:t>、物联网、地理信息、大数据、人工智能等技术和产品在新型智慧城市建设中的应用，通过跨部门数据融合和智能应用，增强跨部门综合执法能力，提高城市治理精细化、智能化水平。支持构建一体化智慧社区融合平台，推动网格化管理和服务。升级信息通信行业大数据平台，大力推进大数据疫情防控支撑，深化“通信行程卡”和“湖南健康码”在后疫情时代的推广应用与信息共享，提升通信大数据及时响应、快速处置和精准管控能力，强化平台在社会综合治理、经济研判、公共安全、公共卫生、社会应急等领域的广泛应用。</w:t>
      </w:r>
      <w:bookmarkEnd w:id="87"/>
      <w:bookmarkEnd w:id="88"/>
    </w:p>
    <w:p>
      <w:pPr>
        <w:spacing w:line="360" w:lineRule="auto"/>
        <w:ind w:firstLine="643" w:firstLineChars="200"/>
        <w:outlineLvl w:val="1"/>
        <w:rPr>
          <w:rFonts w:ascii="楷体" w:hAnsi="楷体" w:eastAsia="楷体" w:cs="楷体"/>
          <w:b/>
          <w:bCs/>
          <w:sz w:val="32"/>
          <w:szCs w:val="32"/>
        </w:rPr>
      </w:pPr>
      <w:bookmarkStart w:id="101" w:name="_Toc7436"/>
      <w:bookmarkStart w:id="102" w:name="_Toc27120"/>
      <w:bookmarkStart w:id="103" w:name="_Toc8171"/>
      <w:bookmarkStart w:id="104" w:name="_Toc28131"/>
      <w:r>
        <w:rPr>
          <w:rFonts w:hint="eastAsia" w:ascii="楷体" w:hAnsi="楷体" w:eastAsia="楷体" w:cs="楷体"/>
          <w:b/>
          <w:bCs/>
          <w:sz w:val="32"/>
          <w:szCs w:val="32"/>
        </w:rPr>
        <w:t>（三）构建新型监管体系</w:t>
      </w:r>
      <w:bookmarkEnd w:id="101"/>
      <w:bookmarkEnd w:id="102"/>
      <w:bookmarkEnd w:id="103"/>
      <w:bookmarkEnd w:id="104"/>
    </w:p>
    <w:p>
      <w:pPr>
        <w:pStyle w:val="28"/>
        <w:numPr>
          <w:ilvl w:val="255"/>
          <w:numId w:val="0"/>
        </w:numPr>
        <w:spacing w:line="360" w:lineRule="auto"/>
        <w:ind w:firstLine="640" w:firstLineChars="200"/>
        <w:rPr>
          <w:rFonts w:ascii="仿宋" w:hAnsi="仿宋" w:eastAsia="仿宋_GB2312" w:cs="仿宋"/>
          <w:sz w:val="32"/>
          <w:szCs w:val="32"/>
          <w:shd w:val="clear" w:color="auto" w:fill="FFFFFF"/>
        </w:rPr>
      </w:pPr>
      <w:r>
        <w:rPr>
          <w:rFonts w:hint="eastAsia" w:ascii="仿宋" w:hAnsi="仿宋" w:eastAsia="仿宋_GB2312" w:cs="仿宋"/>
          <w:sz w:val="32"/>
          <w:szCs w:val="32"/>
          <w:shd w:val="clear" w:color="auto" w:fill="FFFFFF"/>
        </w:rPr>
        <w:t>把握数字经济发展新趋势，聚焦国家治理体系和治理能力现代化总体目标要求，加快建设新型监管体系，着力增强基础管理能力及网络信息安全监管能力，优化发展环境，推动创新发展，促进经济社会高质量发展。</w:t>
      </w:r>
    </w:p>
    <w:p>
      <w:pPr>
        <w:pStyle w:val="28"/>
        <w:numPr>
          <w:ilvl w:val="255"/>
          <w:numId w:val="0"/>
        </w:numPr>
        <w:spacing w:line="360" w:lineRule="auto"/>
        <w:ind w:left="640"/>
        <w:outlineLvl w:val="2"/>
        <w:rPr>
          <w:rFonts w:ascii="仿宋" w:hAnsi="仿宋" w:eastAsia="仿宋_GB2312" w:cs="仿宋"/>
          <w:b/>
          <w:bCs/>
          <w:sz w:val="32"/>
          <w:szCs w:val="32"/>
        </w:rPr>
      </w:pPr>
      <w:r>
        <w:rPr>
          <w:rFonts w:ascii="仿宋" w:hAnsi="仿宋" w:eastAsia="仿宋_GB2312" w:cs="仿宋"/>
          <w:b/>
          <w:bCs/>
          <w:sz w:val="32"/>
          <w:szCs w:val="32"/>
        </w:rPr>
        <w:t>1</w:t>
      </w:r>
      <w:r>
        <w:rPr>
          <w:rFonts w:hint="eastAsia" w:ascii="仿宋" w:hAnsi="仿宋" w:eastAsia="仿宋_GB2312" w:cs="仿宋"/>
          <w:b/>
          <w:bCs/>
          <w:sz w:val="32"/>
          <w:szCs w:val="32"/>
        </w:rPr>
        <w:t>.全面构建立体化监管体系</w:t>
      </w:r>
    </w:p>
    <w:p>
      <w:pPr>
        <w:widowControl/>
        <w:spacing w:line="360" w:lineRule="auto"/>
        <w:ind w:firstLine="643" w:firstLineChars="200"/>
        <w:jc w:val="left"/>
        <w:rPr>
          <w:rFonts w:ascii="仿宋" w:hAnsi="仿宋" w:eastAsia="仿宋_GB2312" w:cs="仿宋"/>
          <w:b/>
          <w:bCs/>
          <w:kern w:val="0"/>
          <w:sz w:val="31"/>
          <w:szCs w:val="31"/>
          <w:lang w:bidi="ar"/>
        </w:rPr>
      </w:pPr>
      <w:r>
        <w:rPr>
          <w:rFonts w:hint="eastAsia" w:ascii="仿宋" w:hAnsi="仿宋" w:eastAsia="仿宋_GB2312" w:cs="仿宋"/>
          <w:b/>
          <w:bCs/>
          <w:sz w:val="32"/>
          <w:szCs w:val="32"/>
        </w:rPr>
        <w:t>推进多方协同治理。</w:t>
      </w:r>
      <w:r>
        <w:rPr>
          <w:rFonts w:hint="eastAsia" w:ascii="仿宋" w:hAnsi="仿宋" w:eastAsia="仿宋_GB2312" w:cs="仿宋"/>
          <w:sz w:val="32"/>
          <w:szCs w:val="32"/>
        </w:rPr>
        <w:t>探索建立由政府统筹，企业、社会、公民等各方力量共同参与、相互协作的行业治理机制，加强部门之间、政企之间、政府与公众的数据共享、信息互通，形成多方协同共治格局。</w:t>
      </w:r>
      <w:r>
        <w:rPr>
          <w:rFonts w:hint="eastAsia" w:ascii="仿宋" w:hAnsi="仿宋" w:eastAsia="仿宋_GB2312" w:cs="仿宋"/>
          <w:kern w:val="0"/>
          <w:sz w:val="31"/>
          <w:szCs w:val="31"/>
          <w:lang w:bidi="ar"/>
        </w:rPr>
        <w:t>联动有关行业主管部门，如配合市场监管、交通、民航等部门加强电商行业、网约车行业、民航行业等其它行业的监管工作，横向到边，纵向到底，加强跨地区、跨部门的信息互通和监管协同，推动</w:t>
      </w:r>
      <w:r>
        <w:rPr>
          <w:rFonts w:hint="eastAsia" w:ascii="仿宋" w:hAnsi="仿宋" w:eastAsia="仿宋_GB2312" w:cs="仿宋"/>
          <w:sz w:val="32"/>
          <w:szCs w:val="32"/>
        </w:rPr>
        <w:t>监管工作全面支撑地方经济社会发展。</w:t>
      </w:r>
    </w:p>
    <w:p>
      <w:pPr>
        <w:widowControl/>
        <w:spacing w:line="360" w:lineRule="auto"/>
        <w:ind w:firstLine="622" w:firstLineChars="200"/>
        <w:jc w:val="left"/>
        <w:rPr>
          <w:rFonts w:ascii="仿宋" w:hAnsi="仿宋" w:eastAsia="仿宋_GB2312" w:cs="仿宋"/>
          <w:strike/>
          <w:kern w:val="0"/>
          <w:sz w:val="31"/>
          <w:szCs w:val="31"/>
          <w:lang w:bidi="ar"/>
        </w:rPr>
      </w:pPr>
      <w:r>
        <w:rPr>
          <w:rFonts w:hint="eastAsia" w:ascii="仿宋" w:hAnsi="仿宋" w:eastAsia="仿宋_GB2312" w:cs="仿宋"/>
          <w:b/>
          <w:bCs/>
          <w:kern w:val="0"/>
          <w:sz w:val="31"/>
          <w:szCs w:val="31"/>
          <w:lang w:bidi="ar"/>
        </w:rPr>
        <w:t>深化“放管服”改革。</w:t>
      </w:r>
      <w:r>
        <w:rPr>
          <w:rFonts w:hint="eastAsia" w:ascii="仿宋" w:hAnsi="仿宋" w:eastAsia="仿宋_GB2312" w:cs="仿宋"/>
          <w:kern w:val="0"/>
          <w:sz w:val="31"/>
          <w:szCs w:val="31"/>
          <w:lang w:bidi="ar"/>
        </w:rPr>
        <w:t>深入推进简政放权，深化“不见面审批”、“最多跑一次”、“证照分离”全覆盖改革，试点第二类增值电信业务告知承诺审批改革，局部扩大增值业务告知承诺审批适用范围，实现从“严进宽管”向“宽严相济”转变。对自贸区企业全面落实“告知承诺制”，符合条件的企业实现当天拿证。</w:t>
      </w:r>
      <w:r>
        <w:rPr>
          <w:rFonts w:hint="eastAsia" w:ascii="仿宋" w:hAnsi="仿宋" w:eastAsia="仿宋_GB2312" w:cs="仿宋"/>
          <w:sz w:val="32"/>
          <w:szCs w:val="32"/>
        </w:rPr>
        <w:t>加强“双随机，一公开”、日常监督检查的有效衔接，对重点领域实行重点监管，着力实现管理模式由事前监管为主向事前、事中、事后有机联动的全流程管理转变。强化市场主体责任，建立信用记分机制，</w:t>
      </w:r>
      <w:r>
        <w:rPr>
          <w:rFonts w:hint="eastAsia" w:ascii="仿宋" w:hAnsi="仿宋" w:eastAsia="仿宋_GB2312" w:cs="仿宋"/>
          <w:kern w:val="0"/>
          <w:sz w:val="31"/>
          <w:szCs w:val="31"/>
          <w:lang w:bidi="ar"/>
        </w:rPr>
        <w:t>构建以信用为基础的新型监管机制。</w:t>
      </w:r>
    </w:p>
    <w:p>
      <w:pPr>
        <w:pStyle w:val="28"/>
        <w:numPr>
          <w:ilvl w:val="255"/>
          <w:numId w:val="0"/>
        </w:numPr>
        <w:spacing w:line="360" w:lineRule="auto"/>
        <w:ind w:firstLine="643" w:firstLineChars="200"/>
        <w:rPr>
          <w:rFonts w:ascii="仿宋" w:hAnsi="仿宋" w:eastAsia="仿宋_GB2312" w:cs="仿宋"/>
          <w:b/>
          <w:bCs/>
          <w:sz w:val="32"/>
          <w:szCs w:val="32"/>
        </w:rPr>
      </w:pPr>
      <w:r>
        <w:rPr>
          <w:rFonts w:hint="eastAsia" w:ascii="仿宋" w:hAnsi="仿宋" w:eastAsia="仿宋_GB2312" w:cs="仿宋"/>
          <w:b/>
          <w:bCs/>
          <w:sz w:val="32"/>
          <w:szCs w:val="32"/>
        </w:rPr>
        <w:t>加强新产业新业态监管。</w:t>
      </w:r>
      <w:r>
        <w:rPr>
          <w:rFonts w:hint="eastAsia" w:ascii="仿宋" w:hAnsi="仿宋" w:eastAsia="仿宋_GB2312" w:cs="仿宋"/>
          <w:sz w:val="32"/>
          <w:szCs w:val="32"/>
        </w:rPr>
        <w:t>坚持“包容审慎监管原则”，鼓励互联网新业态创新发展，运用云计算、大数据、人工智能等新技术，增强全网的动态感知、科学预警、留痕溯源、调查取证能力，提升行业监管专业化、精准化、智能化水平。建立面向新技术新业务的技术手段，跟踪监测新业务发展情况，及时发现和解决新业务新技术发展过程中的相关问题。</w:t>
      </w:r>
    </w:p>
    <w:p>
      <w:pPr>
        <w:pStyle w:val="28"/>
        <w:numPr>
          <w:ilvl w:val="255"/>
          <w:numId w:val="0"/>
        </w:numPr>
        <w:spacing w:line="360" w:lineRule="auto"/>
        <w:ind w:left="640"/>
        <w:outlineLvl w:val="2"/>
        <w:rPr>
          <w:rFonts w:ascii="仿宋" w:hAnsi="仿宋" w:eastAsia="仿宋_GB2312" w:cs="仿宋"/>
          <w:b/>
          <w:bCs/>
          <w:sz w:val="32"/>
          <w:szCs w:val="32"/>
        </w:rPr>
      </w:pPr>
      <w:r>
        <w:rPr>
          <w:rFonts w:ascii="仿宋" w:hAnsi="仿宋" w:eastAsia="仿宋_GB2312" w:cs="仿宋"/>
          <w:b/>
          <w:bCs/>
          <w:sz w:val="32"/>
          <w:szCs w:val="32"/>
        </w:rPr>
        <w:t>2</w:t>
      </w:r>
      <w:r>
        <w:rPr>
          <w:rFonts w:hint="eastAsia" w:ascii="仿宋" w:hAnsi="仿宋" w:eastAsia="仿宋_GB2312" w:cs="仿宋"/>
          <w:b/>
          <w:bCs/>
          <w:sz w:val="32"/>
          <w:szCs w:val="32"/>
        </w:rPr>
        <w:t>.着力增强基础</w:t>
      </w:r>
      <w:r>
        <w:rPr>
          <w:rFonts w:hint="eastAsia" w:ascii="仿宋" w:hAnsi="仿宋" w:eastAsia="仿宋_GB2312" w:cs="仿宋"/>
          <w:b/>
          <w:bCs/>
          <w:sz w:val="32"/>
          <w:szCs w:val="32"/>
          <w:lang w:eastAsia="zh-CN"/>
        </w:rPr>
        <w:t>管理</w:t>
      </w:r>
      <w:r>
        <w:rPr>
          <w:rFonts w:hint="eastAsia" w:ascii="仿宋" w:hAnsi="仿宋" w:eastAsia="仿宋_GB2312" w:cs="仿宋"/>
          <w:b/>
          <w:bCs/>
          <w:sz w:val="32"/>
          <w:szCs w:val="32"/>
        </w:rPr>
        <w:t>能力</w:t>
      </w:r>
    </w:p>
    <w:p>
      <w:pPr>
        <w:pStyle w:val="28"/>
        <w:numPr>
          <w:ilvl w:val="255"/>
          <w:numId w:val="0"/>
        </w:num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构建“以网管网”双平台。</w:t>
      </w:r>
      <w:r>
        <w:rPr>
          <w:rFonts w:hint="eastAsia" w:ascii="仿宋" w:hAnsi="仿宋" w:eastAsia="仿宋_GB2312" w:cs="仿宋"/>
          <w:sz w:val="32"/>
          <w:szCs w:val="32"/>
        </w:rPr>
        <w:t>以提升行业监管能力为主线，建设集约高效、统一共享、部省联动的监管大平台。提高全网覆盖的数据采集能力，完善监管对象的数据对接机制，建立涵盖主体、资源、运行、安全的数据资源管理平台。深化数据资源开发利用，构建“以网管网、全网联动”的现代化技术监管支撑体系。</w:t>
      </w:r>
    </w:p>
    <w:p>
      <w:pPr>
        <w:pStyle w:val="28"/>
        <w:numPr>
          <w:ilvl w:val="255"/>
          <w:numId w:val="0"/>
        </w:num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加强互联网基础管理。</w:t>
      </w:r>
      <w:r>
        <w:rPr>
          <w:rFonts w:hint="eastAsia" w:ascii="仿宋" w:hAnsi="仿宋" w:eastAsia="仿宋_GB2312" w:cs="仿宋"/>
          <w:sz w:val="32"/>
          <w:szCs w:val="32"/>
        </w:rPr>
        <w:t>加强网络接入管理，完善网站、移动智能程序（APP）等互联网信息服务备案制度，规范域名、IP地址等互联网资源注册分配使用，全面推进网络接入实名工作。</w:t>
      </w:r>
      <w:r>
        <w:rPr>
          <w:rFonts w:ascii="仿宋" w:hAnsi="仿宋" w:eastAsia="仿宋_GB2312" w:cs="仿宋"/>
          <w:color w:val="auto"/>
          <w:sz w:val="32"/>
          <w:szCs w:val="32"/>
        </w:rPr>
        <w:t>加强网间路由管理，建立健全省内互联网路由信息收集、核验手段和机制，进一步增强网间互联可靠性</w:t>
      </w:r>
      <w:r>
        <w:rPr>
          <w:rFonts w:hint="eastAsia" w:ascii="仿宋" w:hAnsi="仿宋" w:eastAsia="仿宋_GB2312" w:cs="仿宋"/>
          <w:color w:val="auto"/>
          <w:sz w:val="32"/>
          <w:szCs w:val="32"/>
        </w:rPr>
        <w:t>;</w:t>
      </w:r>
      <w:r>
        <w:rPr>
          <w:rFonts w:hint="eastAsia" w:ascii="仿宋" w:hAnsi="仿宋" w:eastAsia="仿宋_GB2312" w:cs="仿宋"/>
          <w:sz w:val="32"/>
          <w:szCs w:val="32"/>
        </w:rPr>
        <w:t>加强网络寻址管理，在长沙建立互联网域名根镜像服务器。</w:t>
      </w:r>
    </w:p>
    <w:p>
      <w:pPr>
        <w:pStyle w:val="28"/>
        <w:numPr>
          <w:ilvl w:val="255"/>
          <w:numId w:val="0"/>
        </w:numPr>
        <w:spacing w:line="360" w:lineRule="auto"/>
        <w:ind w:firstLine="643" w:firstLineChars="200"/>
        <w:rPr>
          <w:rFonts w:ascii="仿宋" w:hAnsi="仿宋" w:eastAsia="仿宋_GB2312" w:cs="仿宋"/>
          <w:sz w:val="32"/>
          <w:szCs w:val="32"/>
        </w:rPr>
      </w:pPr>
      <w:r>
        <w:rPr>
          <w:rFonts w:hint="eastAsia" w:ascii="仿宋" w:hAnsi="仿宋" w:eastAsia="仿宋_GB2312" w:cs="仿宋"/>
          <w:b/>
          <w:bCs/>
          <w:sz w:val="32"/>
          <w:szCs w:val="32"/>
        </w:rPr>
        <w:t>加强工业互联网标识管理。</w:t>
      </w:r>
      <w:r>
        <w:rPr>
          <w:rFonts w:hint="eastAsia" w:ascii="仿宋" w:hAnsi="仿宋" w:eastAsia="仿宋_GB2312" w:cs="仿宋"/>
          <w:sz w:val="32"/>
          <w:szCs w:val="32"/>
        </w:rPr>
        <w:t>加强工业互联网标识解析根节点建设和对接，提升对标识、域名等网络基础资源支撑能力，建设运营标识解析二级节点和递归节点，构建基于标识解析的区块链基础设施，加快推动主动标识载体规模化应用，推动标识在公共领域应用，加快推动标识解析核心软硬件产业化，培育壮大标识产业生态。加强工业互联网标识规范管理，提升标识解析体系治理能力。</w:t>
      </w:r>
    </w:p>
    <w:p>
      <w:pPr>
        <w:spacing w:line="360" w:lineRule="auto"/>
        <w:ind w:firstLine="643" w:firstLineChars="200"/>
        <w:outlineLvl w:val="2"/>
        <w:rPr>
          <w:rFonts w:ascii="仿宋" w:hAnsi="仿宋" w:eastAsia="仿宋_GB2312" w:cs="仿宋"/>
          <w:b/>
          <w:bCs/>
          <w:sz w:val="32"/>
          <w:szCs w:val="32"/>
        </w:rPr>
      </w:pPr>
      <w:r>
        <w:rPr>
          <w:rFonts w:ascii="仿宋" w:hAnsi="仿宋" w:eastAsia="仿宋_GB2312" w:cs="仿宋"/>
          <w:b/>
          <w:bCs/>
          <w:sz w:val="32"/>
          <w:szCs w:val="32"/>
        </w:rPr>
        <w:t>3</w:t>
      </w:r>
      <w:r>
        <w:rPr>
          <w:rFonts w:hint="eastAsia" w:ascii="仿宋" w:hAnsi="仿宋" w:eastAsia="仿宋_GB2312" w:cs="仿宋"/>
          <w:b/>
          <w:bCs/>
          <w:sz w:val="32"/>
          <w:szCs w:val="32"/>
        </w:rPr>
        <w:t>.完善网络信息安全监管</w:t>
      </w:r>
    </w:p>
    <w:p>
      <w:pPr>
        <w:spacing w:line="360" w:lineRule="auto"/>
        <w:ind w:firstLine="640" w:firstLineChars="200"/>
        <w:rPr>
          <w:rFonts w:ascii="仿宋" w:hAnsi="仿宋" w:eastAsia="仿宋_GB2312" w:cs="仿宋_GB2312"/>
          <w:sz w:val="32"/>
          <w:szCs w:val="32"/>
        </w:rPr>
      </w:pPr>
      <w:r>
        <w:rPr>
          <w:rFonts w:hint="eastAsia" w:ascii="仿宋" w:hAnsi="仿宋" w:eastAsia="仿宋_GB2312" w:cs="仿宋_GB2312"/>
          <w:sz w:val="32"/>
          <w:szCs w:val="32"/>
        </w:rPr>
        <w:t>进一步明确基础电信企业、互联网企业、设备厂商、安全企业等各类主体的安全责任，形成覆盖数字信息行业全产业链条安全责任体系。</w:t>
      </w:r>
      <w:r>
        <w:rPr>
          <w:rFonts w:ascii="仿宋" w:hAnsi="仿宋" w:eastAsia="仿宋_GB2312" w:cs="仿宋_GB2312"/>
          <w:sz w:val="32"/>
          <w:szCs w:val="32"/>
        </w:rPr>
        <w:t>加大</w:t>
      </w:r>
      <w:r>
        <w:rPr>
          <w:rFonts w:hint="eastAsia" w:ascii="仿宋" w:hAnsi="仿宋" w:eastAsia="仿宋_GB2312" w:cs="仿宋_GB2312"/>
          <w:sz w:val="32"/>
          <w:szCs w:val="32"/>
        </w:rPr>
        <w:t>对信息通信</w:t>
      </w:r>
      <w:r>
        <w:rPr>
          <w:rFonts w:ascii="仿宋" w:hAnsi="仿宋" w:eastAsia="仿宋_GB2312" w:cs="仿宋_GB2312"/>
          <w:sz w:val="32"/>
          <w:szCs w:val="32"/>
        </w:rPr>
        <w:t>企业网络安全责任考核</w:t>
      </w:r>
      <w:r>
        <w:rPr>
          <w:rFonts w:hint="eastAsia" w:ascii="仿宋" w:hAnsi="仿宋" w:eastAsia="仿宋_GB2312" w:cs="仿宋_GB2312"/>
          <w:sz w:val="32"/>
          <w:szCs w:val="32"/>
        </w:rPr>
        <w:t>、安全评估、安全监督检查、市场退出的</w:t>
      </w:r>
      <w:r>
        <w:rPr>
          <w:rFonts w:ascii="仿宋" w:hAnsi="仿宋" w:eastAsia="仿宋_GB2312" w:cs="仿宋_GB2312"/>
          <w:sz w:val="32"/>
          <w:szCs w:val="32"/>
        </w:rPr>
        <w:t>事中、事后监管力度</w:t>
      </w:r>
      <w:r>
        <w:rPr>
          <w:rFonts w:hint="eastAsia" w:ascii="仿宋" w:hAnsi="仿宋" w:eastAsia="仿宋_GB2312" w:cs="仿宋_GB2312"/>
          <w:sz w:val="32"/>
          <w:szCs w:val="32"/>
        </w:rPr>
        <w:t>，建立健全符合技术和服务特点的监督执法机制，丰富执法手段，提升执法处置能力。创新完善以大数据决策驱动，以基础电信企业网络和信息安全责任考核、“双随机一公开”执法检查、信用管理等为有效抓手的行业安全监管新格局。</w:t>
      </w:r>
    </w:p>
    <w:p>
      <w:pPr>
        <w:spacing w:line="360" w:lineRule="auto"/>
        <w:ind w:firstLine="643" w:firstLineChars="200"/>
        <w:outlineLvl w:val="2"/>
        <w:rPr>
          <w:rFonts w:ascii="仿宋" w:hAnsi="仿宋" w:eastAsia="仿宋_GB2312" w:cs="仿宋"/>
          <w:b/>
          <w:bCs/>
          <w:sz w:val="32"/>
          <w:szCs w:val="32"/>
        </w:rPr>
      </w:pPr>
      <w:r>
        <w:rPr>
          <w:rFonts w:hint="eastAsia" w:ascii="仿宋" w:hAnsi="仿宋" w:eastAsia="仿宋_GB2312" w:cs="仿宋"/>
          <w:b/>
          <w:bCs/>
          <w:sz w:val="32"/>
          <w:szCs w:val="32"/>
        </w:rPr>
        <w:t>4.建立行业发展生态</w:t>
      </w:r>
    </w:p>
    <w:p>
      <w:pPr>
        <w:spacing w:line="360" w:lineRule="auto"/>
        <w:ind w:firstLine="640" w:firstLineChars="200"/>
        <w:rPr>
          <w:rFonts w:ascii="仿宋" w:hAnsi="仿宋" w:eastAsia="仿宋_GB2312" w:cs="仿宋"/>
          <w:sz w:val="32"/>
          <w:szCs w:val="32"/>
        </w:rPr>
      </w:pPr>
      <w:r>
        <w:rPr>
          <w:rFonts w:hint="eastAsia" w:ascii="仿宋" w:hAnsi="仿宋" w:eastAsia="仿宋_GB2312" w:cs="仿宋"/>
          <w:b w:val="0"/>
          <w:bCs w:val="0"/>
          <w:sz w:val="32"/>
          <w:szCs w:val="32"/>
        </w:rPr>
        <w:t>建立对接服务平台。</w:t>
      </w:r>
      <w:r>
        <w:rPr>
          <w:rFonts w:hint="eastAsia" w:ascii="仿宋" w:hAnsi="仿宋" w:eastAsia="仿宋_GB2312" w:cs="仿宋"/>
          <w:sz w:val="32"/>
          <w:szCs w:val="32"/>
        </w:rPr>
        <w:t>统筹重点行业企事业单位、运营企业、相关产业制造企业、互联网企业、应用开发企业、金融投资服务机构及孵化器、相关研究机构、高等院校等单位和机构，围绕业务需求、技术服务、应用孵化、资金扶持等关键环节，建立产业生态对接平台，促进相关主体间的交流和深度合作，</w:t>
      </w:r>
      <w:r>
        <w:rPr>
          <w:rFonts w:hint="eastAsia" w:ascii="仿宋" w:hAnsi="仿宋" w:eastAsia="仿宋_GB2312" w:cs="仿宋"/>
          <w:sz w:val="32"/>
          <w:szCs w:val="32"/>
          <w:lang w:eastAsia="zh-CN"/>
        </w:rPr>
        <w:t>创新</w:t>
      </w:r>
      <w:r>
        <w:rPr>
          <w:rFonts w:hint="eastAsia" w:ascii="仿宋" w:hAnsi="仿宋" w:eastAsia="仿宋_GB2312" w:cs="仿宋"/>
          <w:sz w:val="32"/>
          <w:szCs w:val="32"/>
        </w:rPr>
        <w:t>合作共赢的商业模式。</w:t>
      </w:r>
    </w:p>
    <w:p>
      <w:pPr>
        <w:spacing w:line="360" w:lineRule="auto"/>
        <w:ind w:firstLine="640" w:firstLineChars="200"/>
        <w:rPr>
          <w:rFonts w:ascii="仿宋" w:hAnsi="仿宋" w:eastAsia="仿宋_GB2312" w:cs="仿宋"/>
          <w:sz w:val="32"/>
          <w:szCs w:val="32"/>
        </w:rPr>
      </w:pPr>
      <w:r>
        <w:rPr>
          <w:rFonts w:hint="eastAsia" w:ascii="仿宋" w:hAnsi="仿宋" w:eastAsia="仿宋_GB2312" w:cs="仿宋"/>
          <w:b w:val="0"/>
          <w:bCs w:val="0"/>
          <w:sz w:val="32"/>
          <w:szCs w:val="32"/>
        </w:rPr>
        <w:t>建立信息通信重点实验室。</w:t>
      </w:r>
      <w:r>
        <w:rPr>
          <w:rFonts w:hint="eastAsia" w:ascii="仿宋" w:hAnsi="仿宋" w:eastAsia="仿宋_GB2312" w:cs="仿宋"/>
          <w:sz w:val="32"/>
          <w:szCs w:val="32"/>
        </w:rPr>
        <w:t>联合行业企业、设备厂家、重点应用企业、省内重点高校等建立信息通信重点实验室，针对关键技术和标准攻坚攻关，规范行业接口数据、互联互通等标准，推进不同产品和应用系统间互换互认，及时将研究成果转化为系列可供推广的技术政策和标准规范，推动成果快速落地和市场转化。</w:t>
      </w:r>
    </w:p>
    <w:p>
      <w:pPr>
        <w:spacing w:line="360" w:lineRule="auto"/>
        <w:ind w:firstLine="640" w:firstLineChars="200"/>
        <w:rPr>
          <w:rFonts w:ascii="仿宋" w:hAnsi="仿宋" w:eastAsia="仿宋_GB2312" w:cs="仿宋"/>
          <w:sz w:val="32"/>
          <w:szCs w:val="32"/>
        </w:rPr>
      </w:pPr>
      <w:r>
        <w:rPr>
          <w:rFonts w:hint="eastAsia" w:ascii="仿宋" w:hAnsi="仿宋" w:eastAsia="仿宋_GB2312" w:cs="仿宋"/>
          <w:b w:val="0"/>
          <w:bCs w:val="0"/>
          <w:sz w:val="32"/>
          <w:szCs w:val="32"/>
        </w:rPr>
        <w:t>建立信息通信创新示范产业园。</w:t>
      </w:r>
      <w:r>
        <w:rPr>
          <w:rFonts w:hint="eastAsia" w:ascii="仿宋" w:hAnsi="仿宋" w:eastAsia="仿宋_GB2312" w:cs="仿宋"/>
          <w:sz w:val="32"/>
          <w:szCs w:val="32"/>
        </w:rPr>
        <w:t>加快建设湖南省信息通信创新示范产业园，统筹行业企业、行业应用相关单位，围绕终端、网络、数据处理、应用等方面，协同开展 5G、物联网、大数据等新一代信息通信技术跨行业应用创新，支持在工业互联网、车联网、智能建造、智慧广电等行业开展应用培育，打造相关行业示范应用标杆，形成一批可复制性成果并加快推广。</w:t>
      </w:r>
    </w:p>
    <w:p>
      <w:pPr>
        <w:spacing w:line="360" w:lineRule="auto"/>
        <w:ind w:firstLine="643" w:firstLineChars="200"/>
        <w:outlineLvl w:val="2"/>
        <w:rPr>
          <w:rFonts w:ascii="仿宋" w:hAnsi="仿宋" w:eastAsia="仿宋_GB2312" w:cs="仿宋"/>
          <w:b/>
          <w:bCs/>
          <w:sz w:val="32"/>
          <w:szCs w:val="32"/>
        </w:rPr>
      </w:pPr>
      <w:r>
        <w:rPr>
          <w:rFonts w:ascii="仿宋" w:hAnsi="仿宋" w:eastAsia="仿宋_GB2312" w:cs="仿宋"/>
          <w:b/>
          <w:bCs/>
          <w:sz w:val="32"/>
          <w:szCs w:val="32"/>
        </w:rPr>
        <w:t>5</w:t>
      </w:r>
      <w:r>
        <w:rPr>
          <w:rFonts w:hint="eastAsia" w:ascii="仿宋" w:hAnsi="仿宋" w:eastAsia="仿宋_GB2312" w:cs="仿宋"/>
          <w:b/>
          <w:bCs/>
          <w:sz w:val="32"/>
          <w:szCs w:val="32"/>
        </w:rPr>
        <w:t>.优化</w:t>
      </w:r>
      <w:r>
        <w:rPr>
          <w:rFonts w:hint="eastAsia" w:ascii="仿宋" w:hAnsi="仿宋" w:eastAsia="仿宋_GB2312" w:cs="仿宋"/>
          <w:b/>
          <w:bCs/>
          <w:sz w:val="32"/>
          <w:szCs w:val="32"/>
          <w:lang w:eastAsia="zh-CN"/>
        </w:rPr>
        <w:t>行业</w:t>
      </w:r>
      <w:r>
        <w:rPr>
          <w:rFonts w:hint="eastAsia" w:ascii="仿宋" w:hAnsi="仿宋" w:eastAsia="仿宋_GB2312" w:cs="仿宋"/>
          <w:b/>
          <w:bCs/>
          <w:sz w:val="32"/>
          <w:szCs w:val="32"/>
        </w:rPr>
        <w:t>发展环境</w:t>
      </w:r>
    </w:p>
    <w:p>
      <w:pPr>
        <w:spacing w:line="360" w:lineRule="auto"/>
        <w:ind w:firstLine="640" w:firstLineChars="200"/>
        <w:rPr>
          <w:rFonts w:ascii="仿宋" w:hAnsi="仿宋" w:eastAsia="仿宋_GB2312" w:cs="仿宋"/>
          <w:sz w:val="32"/>
          <w:szCs w:val="32"/>
        </w:rPr>
      </w:pPr>
      <w:r>
        <w:rPr>
          <w:rFonts w:hint="eastAsia" w:ascii="仿宋" w:hAnsi="仿宋" w:eastAsia="仿宋_GB2312" w:cs="仿宋"/>
          <w:sz w:val="32"/>
          <w:szCs w:val="32"/>
        </w:rPr>
        <w:t>依法依规开展电信经营服务，按照国家标准规范开展信息通信基础设施建设，惩处破坏通信基础设施、阻挠通信设施建设维护、妨碍应急通信保障及通信设施抢修救险等违法行为。持续推进5G等信息通信基础设施有关政策的落地执行，进一步改善</w:t>
      </w:r>
      <w:r>
        <w:rPr>
          <w:rFonts w:hint="eastAsia" w:ascii="仿宋" w:hAnsi="仿宋" w:eastAsia="仿宋_GB2312" w:cs="仿宋"/>
          <w:sz w:val="32"/>
          <w:szCs w:val="32"/>
          <w:lang w:eastAsia="zh-CN"/>
        </w:rPr>
        <w:t>信息</w:t>
      </w:r>
      <w:r>
        <w:rPr>
          <w:rFonts w:hint="eastAsia" w:ascii="仿宋" w:hAnsi="仿宋" w:eastAsia="仿宋_GB2312" w:cs="仿宋"/>
          <w:sz w:val="32"/>
          <w:szCs w:val="32"/>
        </w:rPr>
        <w:t>通信</w:t>
      </w:r>
      <w:r>
        <w:rPr>
          <w:rFonts w:hint="eastAsia" w:ascii="仿宋" w:hAnsi="仿宋" w:eastAsia="仿宋_GB2312" w:cs="仿宋"/>
          <w:sz w:val="32"/>
          <w:szCs w:val="32"/>
          <w:lang w:eastAsia="zh-CN"/>
        </w:rPr>
        <w:t>基础</w:t>
      </w:r>
      <w:r>
        <w:rPr>
          <w:rFonts w:hint="eastAsia" w:ascii="仿宋" w:hAnsi="仿宋" w:eastAsia="仿宋_GB2312" w:cs="仿宋"/>
          <w:sz w:val="32"/>
          <w:szCs w:val="32"/>
        </w:rPr>
        <w:t>设施建设环境。严格执行国家、省有关建筑物中通信</w:t>
      </w:r>
      <w:r>
        <w:rPr>
          <w:rFonts w:hint="eastAsia" w:ascii="仿宋" w:hAnsi="仿宋" w:eastAsia="仿宋_GB2312" w:cs="仿宋"/>
          <w:sz w:val="32"/>
          <w:szCs w:val="32"/>
          <w:lang w:eastAsia="zh-CN"/>
        </w:rPr>
        <w:t>基础</w:t>
      </w:r>
      <w:r>
        <w:rPr>
          <w:rFonts w:hint="eastAsia" w:ascii="仿宋" w:hAnsi="仿宋" w:eastAsia="仿宋_GB2312" w:cs="仿宋"/>
          <w:sz w:val="32"/>
          <w:szCs w:val="32"/>
        </w:rPr>
        <w:t>设施的建设标准和规范，严格执行红线内通信管网等配套设施由建筑物建设单位列入投资建设的相关规定，继续推进落实有线和无线通信</w:t>
      </w:r>
      <w:r>
        <w:rPr>
          <w:rFonts w:hint="eastAsia" w:ascii="仿宋" w:hAnsi="仿宋" w:eastAsia="仿宋_GB2312" w:cs="仿宋"/>
          <w:sz w:val="32"/>
          <w:szCs w:val="32"/>
          <w:lang w:eastAsia="zh-CN"/>
        </w:rPr>
        <w:t>基础</w:t>
      </w:r>
      <w:r>
        <w:rPr>
          <w:rFonts w:hint="eastAsia" w:ascii="仿宋" w:hAnsi="仿宋" w:eastAsia="仿宋_GB2312" w:cs="仿宋"/>
          <w:sz w:val="32"/>
          <w:szCs w:val="32"/>
        </w:rPr>
        <w:t>设施报装和验收备案机制，</w:t>
      </w:r>
      <w:r>
        <w:rPr>
          <w:rFonts w:hint="eastAsia" w:ascii="仿宋" w:hAnsi="仿宋" w:eastAsia="仿宋_GB2312" w:cs="仿宋"/>
          <w:sz w:val="32"/>
          <w:szCs w:val="32"/>
          <w:lang w:eastAsia="zh-CN"/>
        </w:rPr>
        <w:t>提升</w:t>
      </w:r>
      <w:r>
        <w:rPr>
          <w:rFonts w:hint="eastAsia" w:ascii="仿宋" w:hAnsi="仿宋" w:eastAsia="仿宋_GB2312" w:cs="仿宋"/>
          <w:sz w:val="32"/>
          <w:szCs w:val="32"/>
        </w:rPr>
        <w:t>规范我省公共建筑、交通枢纽、商务楼宇、住宅小区、产业园区等光纤宽带和移动通信</w:t>
      </w:r>
      <w:r>
        <w:rPr>
          <w:rFonts w:hint="eastAsia" w:ascii="仿宋" w:hAnsi="仿宋" w:eastAsia="仿宋_GB2312" w:cs="仿宋"/>
          <w:sz w:val="32"/>
          <w:szCs w:val="32"/>
          <w:lang w:eastAsia="zh-CN"/>
        </w:rPr>
        <w:t>基础</w:t>
      </w:r>
      <w:r>
        <w:rPr>
          <w:rFonts w:hint="eastAsia" w:ascii="仿宋" w:hAnsi="仿宋" w:eastAsia="仿宋_GB2312" w:cs="仿宋"/>
          <w:sz w:val="32"/>
          <w:szCs w:val="32"/>
        </w:rPr>
        <w:t>设施建设和网络服务的标准化</w:t>
      </w:r>
      <w:r>
        <w:rPr>
          <w:rFonts w:hint="eastAsia" w:ascii="仿宋" w:hAnsi="仿宋" w:eastAsia="仿宋_GB2312" w:cs="仿宋"/>
          <w:sz w:val="32"/>
          <w:szCs w:val="32"/>
          <w:lang w:eastAsia="zh-CN"/>
        </w:rPr>
        <w:t>水平</w:t>
      </w:r>
      <w:r>
        <w:rPr>
          <w:rFonts w:hint="eastAsia" w:ascii="仿宋" w:hAnsi="仿宋" w:eastAsia="仿宋_GB2312" w:cs="仿宋"/>
          <w:sz w:val="32"/>
          <w:szCs w:val="32"/>
        </w:rPr>
        <w:t>，大力优化信息通信</w:t>
      </w:r>
      <w:r>
        <w:rPr>
          <w:rFonts w:hint="eastAsia" w:ascii="仿宋" w:hAnsi="仿宋" w:eastAsia="仿宋_GB2312" w:cs="仿宋"/>
          <w:sz w:val="32"/>
          <w:szCs w:val="32"/>
          <w:lang w:eastAsia="zh-CN"/>
        </w:rPr>
        <w:t>基础设施</w:t>
      </w:r>
      <w:r>
        <w:rPr>
          <w:rFonts w:hint="eastAsia" w:ascii="仿宋" w:hAnsi="仿宋" w:eastAsia="仿宋_GB2312" w:cs="仿宋"/>
          <w:sz w:val="32"/>
          <w:szCs w:val="32"/>
        </w:rPr>
        <w:t>建设和营商环境，保障人民群众对信息服务的自主选择权。落实高质量发展理念，强力推进</w:t>
      </w:r>
      <w:r>
        <w:rPr>
          <w:rFonts w:hint="eastAsia" w:ascii="仿宋" w:hAnsi="仿宋" w:eastAsia="仿宋_GB2312" w:cs="仿宋"/>
          <w:sz w:val="32"/>
          <w:szCs w:val="32"/>
          <w:lang w:eastAsia="zh-CN"/>
        </w:rPr>
        <w:t>信息</w:t>
      </w:r>
      <w:r>
        <w:rPr>
          <w:rFonts w:hint="eastAsia" w:ascii="仿宋" w:hAnsi="仿宋" w:eastAsia="仿宋_GB2312" w:cs="仿宋"/>
          <w:sz w:val="32"/>
          <w:szCs w:val="32"/>
        </w:rPr>
        <w:t>通信基础设施共建共享，以统筹方式加大共建共享力度和范围，降低社会成本。继续完善农村及偏远地区通信信号覆盖，鼓励地方政府参与协调解决农村通信用地、用电、杆路和青苗补偿等工作，为乡村振兴做好</w:t>
      </w:r>
      <w:r>
        <w:rPr>
          <w:rFonts w:hint="eastAsia" w:ascii="仿宋" w:hAnsi="仿宋" w:eastAsia="仿宋_GB2312" w:cs="仿宋"/>
          <w:sz w:val="32"/>
          <w:szCs w:val="32"/>
          <w:lang w:eastAsia="zh-CN"/>
        </w:rPr>
        <w:t>信息</w:t>
      </w:r>
      <w:r>
        <w:rPr>
          <w:rFonts w:hint="eastAsia" w:ascii="仿宋" w:hAnsi="仿宋" w:eastAsia="仿宋_GB2312" w:cs="仿宋"/>
          <w:sz w:val="32"/>
          <w:szCs w:val="32"/>
        </w:rPr>
        <w:t>通信</w:t>
      </w:r>
      <w:r>
        <w:rPr>
          <w:rFonts w:hint="eastAsia" w:ascii="仿宋" w:hAnsi="仿宋" w:eastAsia="仿宋_GB2312" w:cs="仿宋"/>
          <w:sz w:val="32"/>
          <w:szCs w:val="32"/>
          <w:lang w:eastAsia="zh-CN"/>
        </w:rPr>
        <w:t>基础设施</w:t>
      </w:r>
      <w:r>
        <w:rPr>
          <w:rFonts w:hint="eastAsia" w:ascii="仿宋" w:hAnsi="仿宋" w:eastAsia="仿宋_GB2312" w:cs="仿宋"/>
          <w:sz w:val="32"/>
          <w:szCs w:val="32"/>
        </w:rPr>
        <w:t>保障。建立和规范信息通信</w:t>
      </w:r>
      <w:r>
        <w:rPr>
          <w:rFonts w:hint="eastAsia" w:ascii="仿宋" w:hAnsi="仿宋" w:eastAsia="仿宋_GB2312" w:cs="仿宋"/>
          <w:sz w:val="32"/>
          <w:szCs w:val="32"/>
          <w:lang w:eastAsia="zh-CN"/>
        </w:rPr>
        <w:t>基础</w:t>
      </w:r>
      <w:r>
        <w:rPr>
          <w:rFonts w:hint="eastAsia" w:ascii="仿宋" w:hAnsi="仿宋" w:eastAsia="仿宋_GB2312" w:cs="仿宋"/>
          <w:sz w:val="32"/>
          <w:szCs w:val="32"/>
        </w:rPr>
        <w:t>设施迁改赔补机制，明确赔补范围、流程、标准，保障信息</w:t>
      </w:r>
      <w:r>
        <w:rPr>
          <w:rFonts w:hint="eastAsia" w:ascii="仿宋" w:hAnsi="仿宋" w:eastAsia="仿宋_GB2312" w:cs="仿宋"/>
          <w:sz w:val="32"/>
          <w:szCs w:val="32"/>
          <w:lang w:eastAsia="zh-CN"/>
        </w:rPr>
        <w:t>通信</w:t>
      </w:r>
      <w:r>
        <w:rPr>
          <w:rFonts w:hint="eastAsia" w:ascii="仿宋" w:hAnsi="仿宋" w:eastAsia="仿宋_GB2312" w:cs="仿宋"/>
          <w:sz w:val="32"/>
          <w:szCs w:val="32"/>
        </w:rPr>
        <w:t>基础设施正常建设和发展。</w:t>
      </w:r>
    </w:p>
    <w:p>
      <w:pPr>
        <w:spacing w:line="360" w:lineRule="auto"/>
        <w:ind w:firstLine="643" w:firstLineChars="200"/>
        <w:outlineLvl w:val="1"/>
        <w:rPr>
          <w:rFonts w:ascii="楷体" w:hAnsi="楷体" w:eastAsia="楷体" w:cs="楷体"/>
          <w:b/>
          <w:bCs/>
          <w:sz w:val="32"/>
          <w:szCs w:val="32"/>
        </w:rPr>
      </w:pPr>
      <w:bookmarkStart w:id="105" w:name="_Toc3694"/>
      <w:bookmarkStart w:id="106" w:name="_Toc28093"/>
      <w:bookmarkStart w:id="107" w:name="_Toc8998"/>
      <w:bookmarkStart w:id="108" w:name="_Toc13848"/>
      <w:r>
        <w:rPr>
          <w:rFonts w:hint="eastAsia" w:ascii="楷体" w:hAnsi="楷体" w:eastAsia="楷体" w:cs="楷体"/>
          <w:b/>
          <w:bCs/>
          <w:sz w:val="32"/>
          <w:szCs w:val="32"/>
        </w:rPr>
        <w:t>（四）提升</w:t>
      </w:r>
      <w:r>
        <w:rPr>
          <w:rFonts w:hint="eastAsia" w:ascii="楷体" w:hAnsi="楷体" w:eastAsia="楷体" w:cs="楷体"/>
          <w:b/>
          <w:bCs/>
          <w:sz w:val="32"/>
          <w:szCs w:val="32"/>
          <w:lang w:eastAsia="zh-CN"/>
        </w:rPr>
        <w:t>行业</w:t>
      </w:r>
      <w:r>
        <w:rPr>
          <w:rFonts w:hint="eastAsia" w:ascii="楷体" w:hAnsi="楷体" w:eastAsia="楷体" w:cs="楷体"/>
          <w:b/>
          <w:bCs/>
          <w:sz w:val="32"/>
          <w:szCs w:val="32"/>
        </w:rPr>
        <w:t>服务水平</w:t>
      </w:r>
      <w:bookmarkEnd w:id="105"/>
      <w:bookmarkEnd w:id="106"/>
      <w:bookmarkEnd w:id="107"/>
      <w:bookmarkEnd w:id="108"/>
    </w:p>
    <w:p>
      <w:pPr>
        <w:spacing w:line="360" w:lineRule="auto"/>
        <w:ind w:firstLine="640" w:firstLineChars="200"/>
        <w:rPr>
          <w:rFonts w:ascii="仿宋" w:hAnsi="仿宋" w:eastAsia="仿宋_GB2312" w:cs="仿宋"/>
          <w:sz w:val="32"/>
          <w:szCs w:val="32"/>
          <w:shd w:val="clear" w:color="auto" w:fill="FFFFFF"/>
        </w:rPr>
      </w:pPr>
      <w:r>
        <w:rPr>
          <w:rFonts w:hint="eastAsia" w:ascii="仿宋" w:hAnsi="仿宋" w:eastAsia="仿宋_GB2312" w:cs="仿宋"/>
          <w:sz w:val="32"/>
          <w:szCs w:val="32"/>
        </w:rPr>
        <w:t>坚持以人民为中心的发展思想，</w:t>
      </w:r>
      <w:r>
        <w:rPr>
          <w:rFonts w:hint="eastAsia" w:ascii="仿宋" w:hAnsi="仿宋" w:eastAsia="仿宋_GB2312" w:cs="仿宋"/>
          <w:sz w:val="32"/>
          <w:szCs w:val="32"/>
          <w:shd w:val="clear" w:color="auto" w:fill="FFFFFF"/>
        </w:rPr>
        <w:t>着力强化服务监督、提升用户服务感知、加强个人信息保护、提升应急通信保障水平。</w:t>
      </w:r>
    </w:p>
    <w:p>
      <w:pPr>
        <w:spacing w:line="360" w:lineRule="auto"/>
        <w:ind w:firstLine="643" w:firstLineChars="200"/>
        <w:outlineLvl w:val="2"/>
        <w:rPr>
          <w:rFonts w:ascii="仿宋" w:hAnsi="仿宋" w:eastAsia="仿宋_GB2312" w:cs="仿宋"/>
          <w:b/>
          <w:bCs/>
          <w:sz w:val="32"/>
          <w:szCs w:val="32"/>
        </w:rPr>
      </w:pPr>
      <w:r>
        <w:rPr>
          <w:rFonts w:hint="eastAsia" w:ascii="仿宋" w:hAnsi="仿宋" w:eastAsia="仿宋_GB2312" w:cs="仿宋"/>
          <w:b/>
          <w:bCs/>
          <w:sz w:val="32"/>
          <w:szCs w:val="32"/>
        </w:rPr>
        <w:t>1.强化服务监督</w:t>
      </w:r>
    </w:p>
    <w:p>
      <w:pPr>
        <w:widowControl/>
        <w:ind w:firstLine="640" w:firstLineChars="200"/>
        <w:rPr>
          <w:rFonts w:ascii="仿宋" w:hAnsi="仿宋" w:eastAsia="仿宋_GB2312" w:cs="仿宋"/>
          <w:b/>
          <w:bCs/>
          <w:sz w:val="32"/>
          <w:szCs w:val="32"/>
        </w:rPr>
      </w:pPr>
      <w:r>
        <w:rPr>
          <w:rFonts w:hint="eastAsia" w:ascii="仿宋" w:hAnsi="仿宋" w:eastAsia="仿宋_GB2312" w:cs="仿宋"/>
          <w:sz w:val="32"/>
          <w:szCs w:val="32"/>
        </w:rPr>
        <w:t>贯彻落实电信服务规范和相关服务标准，细化举措，着力提升5G服务质量，加大“携号转网”服务监督检查力度，切实维护用户合法权益。完善电信服务质量评测方法，建立互联网服务评测方法，强化新技术新业务监管，深入推进“互联网+监管”，提升服务监管能力。</w:t>
      </w:r>
    </w:p>
    <w:p>
      <w:pPr>
        <w:pStyle w:val="28"/>
        <w:numPr>
          <w:ilvl w:val="255"/>
          <w:numId w:val="0"/>
        </w:numPr>
        <w:spacing w:line="360" w:lineRule="auto"/>
        <w:ind w:left="640"/>
        <w:outlineLvl w:val="2"/>
      </w:pPr>
      <w:r>
        <w:rPr>
          <w:rFonts w:hint="eastAsia" w:ascii="仿宋" w:hAnsi="仿宋" w:eastAsia="仿宋_GB2312" w:cs="仿宋"/>
          <w:b/>
          <w:bCs/>
          <w:sz w:val="32"/>
          <w:szCs w:val="32"/>
          <w:lang w:val="en-US" w:eastAsia="zh-CN"/>
        </w:rPr>
        <w:t>2.加强用户权益保护</w:t>
      </w:r>
    </w:p>
    <w:p>
      <w:pPr>
        <w:widowControl/>
        <w:ind w:firstLine="640" w:firstLineChars="200"/>
        <w:rPr>
          <w:rFonts w:ascii="仿宋" w:hAnsi="仿宋" w:eastAsia="仿宋_GB2312" w:cs="仿宋"/>
          <w:sz w:val="32"/>
          <w:szCs w:val="32"/>
        </w:rPr>
      </w:pPr>
      <w:r>
        <w:rPr>
          <w:rFonts w:hint="eastAsia" w:ascii="仿宋" w:hAnsi="仿宋" w:eastAsia="仿宋_GB2312" w:cs="仿宋"/>
          <w:sz w:val="32"/>
          <w:szCs w:val="32"/>
        </w:rPr>
        <w:t>严格执行个人信息保护相关法律法规，</w:t>
      </w:r>
      <w:r>
        <w:rPr>
          <w:rFonts w:hint="eastAsia" w:ascii="仿宋" w:hAnsi="仿宋" w:eastAsia="仿宋_GB2312" w:cs="仿宋"/>
          <w:sz w:val="32"/>
          <w:szCs w:val="32"/>
          <w:lang w:eastAsia="zh-CN"/>
        </w:rPr>
        <w:t>开展</w:t>
      </w:r>
      <w:r>
        <w:rPr>
          <w:rFonts w:hint="eastAsia" w:ascii="仿宋" w:hAnsi="仿宋" w:eastAsia="仿宋_GB2312" w:cs="仿宋"/>
          <w:sz w:val="32"/>
          <w:szCs w:val="32"/>
          <w:lang w:val="en-US" w:eastAsia="zh-CN"/>
        </w:rPr>
        <w:t>APP专项整治行动，强化APP安全检测和个人信息保护，督促企业严格落实个人信息保护主体责任。</w:t>
      </w:r>
      <w:r>
        <w:rPr>
          <w:rFonts w:ascii="仿宋" w:hAnsi="仿宋" w:eastAsia="仿宋_GB2312" w:cs="仿宋"/>
          <w:kern w:val="0"/>
          <w:sz w:val="31"/>
          <w:szCs w:val="31"/>
          <w:lang w:bidi="ar"/>
        </w:rPr>
        <w:t>以客户</w:t>
      </w:r>
      <w:r>
        <w:rPr>
          <w:rFonts w:hint="eastAsia" w:ascii="仿宋" w:hAnsi="仿宋" w:eastAsia="仿宋_GB2312" w:cs="仿宋"/>
          <w:kern w:val="0"/>
          <w:sz w:val="31"/>
          <w:szCs w:val="31"/>
          <w:lang w:bidi="ar"/>
        </w:rPr>
        <w:t>满意为导向，优化用户申诉、投诉处理机制，提高用户申诉和解率和用户申诉满意办结率。</w:t>
      </w:r>
      <w:r>
        <w:rPr>
          <w:rFonts w:ascii="仿宋" w:hAnsi="仿宋" w:eastAsia="仿宋_GB2312" w:cs="仿宋"/>
          <w:kern w:val="0"/>
          <w:sz w:val="31"/>
          <w:szCs w:val="31"/>
          <w:lang w:bidi="ar"/>
        </w:rPr>
        <w:t>建立健</w:t>
      </w:r>
      <w:r>
        <w:rPr>
          <w:rFonts w:hint="eastAsia" w:ascii="仿宋" w:hAnsi="仿宋" w:eastAsia="仿宋_GB2312" w:cs="仿宋"/>
          <w:kern w:val="0"/>
          <w:sz w:val="31"/>
          <w:szCs w:val="31"/>
          <w:lang w:bidi="ar"/>
        </w:rPr>
        <w:t>全并严格落实骚扰电话防范制度，推进省内恶意程序防治系</w:t>
      </w:r>
      <w:r>
        <w:rPr>
          <w:rFonts w:ascii="仿宋" w:hAnsi="仿宋" w:eastAsia="仿宋_GB2312" w:cs="仿宋"/>
          <w:kern w:val="0"/>
          <w:sz w:val="31"/>
          <w:szCs w:val="31"/>
          <w:lang w:bidi="ar"/>
        </w:rPr>
        <w:t>统等相关平台部署，完善技术手段，提升骚扰及涉诈电话的</w:t>
      </w:r>
      <w:r>
        <w:rPr>
          <w:rFonts w:hint="eastAsia" w:ascii="仿宋" w:hAnsi="仿宋" w:eastAsia="仿宋_GB2312" w:cs="仿宋"/>
          <w:kern w:val="0"/>
          <w:sz w:val="31"/>
          <w:szCs w:val="31"/>
          <w:lang w:bidi="ar"/>
        </w:rPr>
        <w:t>识别、研判和溯源检查能力。</w:t>
      </w:r>
    </w:p>
    <w:p>
      <w:pPr>
        <w:spacing w:line="360" w:lineRule="auto"/>
        <w:ind w:firstLine="643" w:firstLineChars="200"/>
        <w:outlineLvl w:val="2"/>
        <w:rPr>
          <w:rFonts w:hint="eastAsia" w:ascii="仿宋" w:hAnsi="仿宋" w:eastAsia="仿宋_GB2312" w:cs="仿宋"/>
          <w:b/>
          <w:bCs/>
          <w:sz w:val="32"/>
          <w:szCs w:val="32"/>
        </w:rPr>
      </w:pPr>
      <w:r>
        <w:rPr>
          <w:rFonts w:hint="eastAsia" w:ascii="仿宋" w:hAnsi="仿宋" w:eastAsia="仿宋_GB2312" w:cs="仿宋"/>
          <w:b/>
          <w:bCs/>
          <w:sz w:val="32"/>
          <w:szCs w:val="32"/>
          <w:lang w:val="en-US" w:eastAsia="zh-CN"/>
        </w:rPr>
        <w:t>3</w:t>
      </w:r>
      <w:r>
        <w:rPr>
          <w:rFonts w:hint="eastAsia" w:ascii="仿宋" w:hAnsi="仿宋" w:eastAsia="仿宋_GB2312" w:cs="仿宋"/>
          <w:b/>
          <w:bCs/>
          <w:sz w:val="32"/>
          <w:szCs w:val="32"/>
        </w:rPr>
        <w:t>.提升用户服务感知</w:t>
      </w:r>
    </w:p>
    <w:p>
      <w:pPr>
        <w:widowControl/>
        <w:ind w:firstLine="640" w:firstLineChars="200"/>
        <w:jc w:val="left"/>
        <w:rPr>
          <w:rFonts w:hint="eastAsia" w:ascii="仿宋" w:hAnsi="仿宋" w:eastAsia="仿宋_GB2312" w:cs="仿宋"/>
          <w:kern w:val="0"/>
          <w:sz w:val="31"/>
          <w:szCs w:val="31"/>
          <w:lang w:bidi="ar"/>
        </w:rPr>
      </w:pPr>
      <w:r>
        <w:rPr>
          <w:rFonts w:hint="eastAsia" w:ascii="仿宋" w:hAnsi="仿宋" w:eastAsia="仿宋_GB2312" w:cs="仿宋"/>
          <w:sz w:val="32"/>
          <w:szCs w:val="32"/>
        </w:rPr>
        <w:t>持续提升各基础电信企业数字化服务和智慧客服能力，不断完善客户服务体系，向老年人提供人工直连热线服务，客服热线力争达到月均响应时限</w:t>
      </w:r>
      <w:r>
        <w:rPr>
          <w:rFonts w:hint="eastAsia" w:ascii="仿宋" w:hAnsi="仿宋" w:eastAsia="仿宋_GB2312" w:cs="仿宋"/>
          <w:sz w:val="32"/>
          <w:szCs w:val="32"/>
          <w:lang w:eastAsia="zh-CN"/>
        </w:rPr>
        <w:t>低于</w:t>
      </w:r>
      <w:r>
        <w:rPr>
          <w:rFonts w:hint="eastAsia" w:ascii="仿宋" w:hAnsi="仿宋" w:eastAsia="仿宋_GB2312" w:cs="仿宋"/>
          <w:sz w:val="32"/>
          <w:szCs w:val="32"/>
        </w:rPr>
        <w:t>30秒，人工服务应答率超过85％。适度保留线下营业厅，在营业厅内设置老年人爱心专柜，同时加快推动网上营业厅网站、掌上营业厅App无障碍化改造，推出适老化服务新举措，助力老年人和残障人士跨越智能时代“数字鸿沟”。</w:t>
      </w:r>
      <w:r>
        <w:rPr>
          <w:rFonts w:hint="eastAsia" w:ascii="仿宋" w:hAnsi="仿宋" w:eastAsia="仿宋_GB2312" w:cs="仿宋"/>
          <w:kern w:val="0"/>
          <w:sz w:val="31"/>
          <w:szCs w:val="31"/>
          <w:lang w:bidi="ar"/>
        </w:rPr>
        <w:t>针对低收入和老年群体的需求，推动基础电信企业在省内推出</w:t>
      </w:r>
      <w:r>
        <w:rPr>
          <w:rFonts w:hint="eastAsia" w:ascii="仿宋" w:hAnsi="仿宋" w:eastAsia="仿宋_GB2312" w:cs="仿宋"/>
          <w:kern w:val="0"/>
          <w:sz w:val="31"/>
          <w:szCs w:val="31"/>
          <w:lang w:eastAsia="zh-CN" w:bidi="ar"/>
        </w:rPr>
        <w:t>优惠</w:t>
      </w:r>
      <w:r>
        <w:rPr>
          <w:rFonts w:hint="eastAsia" w:ascii="仿宋" w:hAnsi="仿宋" w:eastAsia="仿宋_GB2312" w:cs="仿宋"/>
          <w:kern w:val="0"/>
          <w:sz w:val="31"/>
          <w:szCs w:val="31"/>
          <w:lang w:bidi="ar"/>
        </w:rPr>
        <w:t>资费方案，面向建档立卡贫困户给予优惠。持续推进网络“提速降费”，支撑中小企业和民营经济发展。</w:t>
      </w:r>
    </w:p>
    <w:p>
      <w:pPr>
        <w:pStyle w:val="28"/>
        <w:numPr>
          <w:ilvl w:val="255"/>
          <w:numId w:val="0"/>
        </w:numPr>
        <w:spacing w:line="360" w:lineRule="auto"/>
        <w:ind w:left="640"/>
        <w:outlineLvl w:val="2"/>
        <w:rPr>
          <w:rFonts w:hint="eastAsia" w:ascii="仿宋" w:hAnsi="仿宋" w:eastAsia="仿宋_GB2312" w:cs="仿宋"/>
          <w:b/>
          <w:bCs/>
          <w:sz w:val="32"/>
          <w:szCs w:val="32"/>
          <w:lang w:val="en-US" w:eastAsia="zh-CN"/>
        </w:rPr>
      </w:pPr>
      <w:r>
        <w:rPr>
          <w:rFonts w:hint="eastAsia" w:ascii="仿宋" w:hAnsi="仿宋" w:eastAsia="仿宋_GB2312" w:cs="仿宋"/>
          <w:b/>
          <w:bCs/>
          <w:sz w:val="32"/>
          <w:szCs w:val="32"/>
          <w:lang w:val="en-US" w:eastAsia="zh-CN"/>
        </w:rPr>
        <w:t>4.提升网络服务能力</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2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0"/>
          <w:sz w:val="31"/>
          <w:szCs w:val="31"/>
          <w:lang w:val="en-US" w:eastAsia="zh-CN" w:bidi="ar"/>
        </w:rPr>
        <w:t>加强现有网络隐患问题排查和优化，提升基础网络运行水平，为用户提供安全可靠的网络服务能力。进一步提升网络速率监测能力，组织开展重点场所网络体验测试工作。提高互联网业务访问性能，提升网络运行速率、首屏呈现时间等。搭建5G网络质量检测和分析平台，开展质量测评，促进质量持续优化。建设“端到端”用户体验综合监测平台，提供分区域、分时段、全网段检测能力。</w:t>
      </w:r>
    </w:p>
    <w:p>
      <w:pPr>
        <w:pStyle w:val="28"/>
        <w:numPr>
          <w:ilvl w:val="255"/>
          <w:numId w:val="0"/>
        </w:numPr>
        <w:spacing w:line="360" w:lineRule="auto"/>
        <w:ind w:left="640"/>
        <w:outlineLvl w:val="2"/>
        <w:rPr>
          <w:rFonts w:ascii="仿宋" w:hAnsi="仿宋" w:eastAsia="仿宋_GB2312" w:cs="仿宋"/>
          <w:b/>
          <w:bCs/>
          <w:sz w:val="32"/>
          <w:szCs w:val="32"/>
        </w:rPr>
      </w:pPr>
      <w:r>
        <w:rPr>
          <w:rFonts w:hint="eastAsia" w:ascii="仿宋" w:hAnsi="仿宋" w:eastAsia="仿宋_GB2312" w:cs="仿宋"/>
          <w:b/>
          <w:bCs/>
          <w:sz w:val="32"/>
          <w:szCs w:val="32"/>
          <w:lang w:val="en-US" w:eastAsia="zh-CN"/>
        </w:rPr>
        <w:t>5</w:t>
      </w:r>
      <w:r>
        <w:rPr>
          <w:rFonts w:hint="eastAsia" w:ascii="仿宋" w:hAnsi="仿宋" w:eastAsia="仿宋_GB2312" w:cs="仿宋"/>
          <w:b/>
          <w:bCs/>
          <w:sz w:val="32"/>
          <w:szCs w:val="32"/>
        </w:rPr>
        <w:t>.提升应急通信保障能力</w:t>
      </w:r>
    </w:p>
    <w:p>
      <w:pPr>
        <w:spacing w:line="360" w:lineRule="auto"/>
        <w:ind w:firstLine="640" w:firstLineChars="200"/>
        <w:rPr>
          <w:rFonts w:ascii="仿宋" w:hAnsi="仿宋" w:eastAsia="仿宋_GB2312" w:cs="仿宋"/>
          <w:sz w:val="32"/>
          <w:szCs w:val="32"/>
        </w:rPr>
      </w:pPr>
      <w:r>
        <w:rPr>
          <w:rFonts w:hint="eastAsia" w:ascii="仿宋" w:hAnsi="仿宋" w:eastAsia="仿宋_GB2312" w:cs="仿宋"/>
          <w:sz w:val="32"/>
          <w:szCs w:val="32"/>
        </w:rPr>
        <w:t>加强全省应急通信的统一规划、领导和指挥，建立健全常态化协同机制和信息共享机制，加大地区间、企业间的信息共享、资源统筹、指挥调度、协同联动、支援保障</w:t>
      </w:r>
      <w:r>
        <w:rPr>
          <w:rFonts w:hint="eastAsia" w:ascii="仿宋" w:hAnsi="仿宋" w:eastAsia="仿宋_GB2312" w:cs="仿宋"/>
          <w:sz w:val="32"/>
          <w:szCs w:val="32"/>
          <w:lang w:eastAsia="zh-CN"/>
        </w:rPr>
        <w:t>的</w:t>
      </w:r>
      <w:r>
        <w:rPr>
          <w:rFonts w:hint="eastAsia" w:ascii="仿宋" w:hAnsi="仿宋" w:eastAsia="仿宋_GB2312" w:cs="仿宋"/>
          <w:sz w:val="32"/>
          <w:szCs w:val="32"/>
        </w:rPr>
        <w:t>力度，提升区域应急通信保障协调、指挥、部署、处置效能。强化队伍培训，定期开展应急演练，增强队伍实战能力，顺利完成各类重大活动通信保障任务。不断提升应急装备配置水平，加速推动新技术的应用，丰富应急通信保障手段，完善应急通信保障指挥调度体系。修订应急通信保障预案，确保预案适应技术、业务发展新变化。</w:t>
      </w:r>
    </w:p>
    <w:p>
      <w:pPr>
        <w:spacing w:line="360" w:lineRule="auto"/>
        <w:ind w:firstLine="643" w:firstLineChars="200"/>
        <w:outlineLvl w:val="1"/>
        <w:rPr>
          <w:rFonts w:hint="eastAsia" w:ascii="楷体" w:hAnsi="楷体" w:eastAsia="楷体" w:cs="楷体"/>
          <w:b/>
          <w:bCs/>
          <w:sz w:val="32"/>
          <w:szCs w:val="32"/>
          <w:lang w:eastAsia="zh-CN"/>
        </w:rPr>
      </w:pPr>
      <w:bookmarkStart w:id="109" w:name="_Toc7801"/>
      <w:bookmarkStart w:id="110" w:name="_Toc17202"/>
      <w:bookmarkStart w:id="111" w:name="_Toc22919"/>
      <w:bookmarkStart w:id="112" w:name="_Toc19892"/>
      <w:r>
        <w:rPr>
          <w:rFonts w:hint="eastAsia" w:ascii="楷体" w:hAnsi="楷体" w:eastAsia="楷体" w:cs="楷体"/>
          <w:b/>
          <w:bCs/>
          <w:sz w:val="32"/>
          <w:szCs w:val="32"/>
        </w:rPr>
        <w:t>（五）强化网络安全保障</w:t>
      </w:r>
      <w:bookmarkEnd w:id="109"/>
      <w:bookmarkEnd w:id="110"/>
      <w:r>
        <w:rPr>
          <w:rFonts w:hint="eastAsia" w:ascii="楷体" w:hAnsi="楷体" w:eastAsia="楷体" w:cs="楷体"/>
          <w:b/>
          <w:bCs/>
          <w:sz w:val="32"/>
          <w:szCs w:val="32"/>
          <w:lang w:eastAsia="zh-CN"/>
        </w:rPr>
        <w:t>体系</w:t>
      </w:r>
      <w:bookmarkEnd w:id="111"/>
      <w:bookmarkEnd w:id="112"/>
    </w:p>
    <w:p>
      <w:pPr>
        <w:spacing w:line="360" w:lineRule="auto"/>
        <w:ind w:firstLine="668" w:firstLineChars="200"/>
        <w:rPr>
          <w:rFonts w:ascii="仿宋" w:hAnsi="仿宋" w:eastAsia="仿宋_GB2312" w:cs="仿宋"/>
          <w:sz w:val="32"/>
          <w:szCs w:val="32"/>
        </w:rPr>
      </w:pPr>
      <w:r>
        <w:rPr>
          <w:rFonts w:hint="eastAsia" w:ascii="仿宋" w:hAnsi="仿宋" w:eastAsia="仿宋_GB2312" w:cs="仿宋"/>
          <w:bCs/>
          <w:spacing w:val="7"/>
          <w:sz w:val="32"/>
          <w:szCs w:val="32"/>
          <w:shd w:val="clear" w:color="auto" w:fill="FFFFFF"/>
        </w:rPr>
        <w:t>坚持总体国家安全观，落实国家网络安全工作“四个坚持”重要指示精神，紧紧围绕防范化解重大网络安全风险的工作主线，强化网络信息安全能力，加强行业安全管理。</w:t>
      </w:r>
      <w:r>
        <w:rPr>
          <w:rFonts w:ascii="仿宋" w:hAnsi="仿宋" w:eastAsia="仿宋_GB2312" w:cs="仿宋"/>
          <w:bCs/>
          <w:spacing w:val="7"/>
          <w:sz w:val="32"/>
          <w:szCs w:val="32"/>
          <w:shd w:val="clear" w:color="auto" w:fill="FFFFFF"/>
        </w:rPr>
        <w:t>持续推进网络信息安全属地化能力建设，</w:t>
      </w:r>
      <w:r>
        <w:rPr>
          <w:rFonts w:hint="eastAsia" w:ascii="仿宋" w:hAnsi="仿宋" w:eastAsia="仿宋_GB2312" w:cs="仿宋"/>
          <w:bCs/>
          <w:spacing w:val="7"/>
          <w:sz w:val="32"/>
          <w:szCs w:val="32"/>
          <w:shd w:val="clear" w:color="auto" w:fill="FFFFFF"/>
        </w:rPr>
        <w:t>增强</w:t>
      </w:r>
      <w:r>
        <w:rPr>
          <w:rFonts w:hint="eastAsia" w:ascii="仿宋" w:hAnsi="仿宋" w:eastAsia="仿宋_GB2312" w:cs="仿宋"/>
          <w:sz w:val="32"/>
          <w:szCs w:val="32"/>
        </w:rPr>
        <w:t>关键基础设施和</w:t>
      </w:r>
      <w:r>
        <w:rPr>
          <w:rFonts w:hint="eastAsia" w:ascii="仿宋" w:hAnsi="仿宋" w:eastAsia="仿宋_GB2312" w:cs="仿宋"/>
          <w:sz w:val="32"/>
          <w:szCs w:val="32"/>
          <w:lang w:eastAsia="zh-CN"/>
        </w:rPr>
        <w:t>信息通信</w:t>
      </w:r>
      <w:r>
        <w:rPr>
          <w:rFonts w:hint="eastAsia" w:ascii="仿宋" w:hAnsi="仿宋" w:eastAsia="仿宋_GB2312" w:cs="仿宋"/>
          <w:sz w:val="32"/>
          <w:szCs w:val="32"/>
        </w:rPr>
        <w:t>基础设施安全保障，完善网络信息安全治理体系，</w:t>
      </w:r>
      <w:r>
        <w:rPr>
          <w:rFonts w:hint="eastAsia" w:ascii="仿宋" w:hAnsi="仿宋" w:eastAsia="仿宋_GB2312"/>
          <w:w w:val="98"/>
          <w:sz w:val="32"/>
          <w:szCs w:val="32"/>
        </w:rPr>
        <w:t>提升</w:t>
      </w:r>
      <w:r>
        <w:rPr>
          <w:rFonts w:hint="eastAsia" w:ascii="仿宋" w:hAnsi="仿宋" w:eastAsia="仿宋_GB2312" w:cs="仿宋"/>
          <w:sz w:val="32"/>
          <w:szCs w:val="32"/>
        </w:rPr>
        <w:t>综合安全防御能力。提升网络运行和安全应急处置能力。优化安全服务供需对接，推动安全产业发展。</w:t>
      </w:r>
    </w:p>
    <w:p>
      <w:pPr>
        <w:spacing w:line="360" w:lineRule="auto"/>
        <w:ind w:firstLine="643" w:firstLineChars="200"/>
        <w:outlineLvl w:val="2"/>
        <w:rPr>
          <w:rFonts w:ascii="仿宋" w:hAnsi="仿宋" w:eastAsia="仿宋_GB2312" w:cs="仿宋"/>
          <w:b/>
          <w:bCs/>
          <w:sz w:val="32"/>
          <w:szCs w:val="32"/>
        </w:rPr>
      </w:pPr>
      <w:r>
        <w:rPr>
          <w:rFonts w:hint="eastAsia" w:ascii="仿宋" w:hAnsi="仿宋" w:eastAsia="仿宋_GB2312" w:cs="仿宋"/>
          <w:b/>
          <w:bCs/>
          <w:sz w:val="32"/>
          <w:szCs w:val="32"/>
        </w:rPr>
        <w:t>1.增强关键基础设施安全保障体系</w:t>
      </w:r>
    </w:p>
    <w:p>
      <w:pPr>
        <w:spacing w:line="360" w:lineRule="auto"/>
        <w:ind w:firstLine="640" w:firstLineChars="200"/>
        <w:rPr>
          <w:rFonts w:ascii="仿宋" w:hAnsi="仿宋" w:eastAsia="仿宋_GB2312" w:cs="仿宋"/>
          <w:sz w:val="32"/>
          <w:szCs w:val="32"/>
        </w:rPr>
      </w:pPr>
      <w:r>
        <w:rPr>
          <w:rFonts w:hint="eastAsia" w:ascii="仿宋" w:hAnsi="仿宋" w:eastAsia="仿宋_GB2312" w:cs="仿宋"/>
          <w:sz w:val="32"/>
          <w:szCs w:val="32"/>
        </w:rPr>
        <w:t>深入落实《网络安全法》及国家关键信息基础设施安全保护要求，建立实施网络基础设施安全防护能力认证及成熟度评价制度，构建行业关键信息基础设施网络安全风险管理框架和效果评估体系。着力增强大规模网络安全审查体系，推进网络关键设备安全监测认证，建立供应商网络安全成熟度认证等风险管理制度。推动网络安全保障体系与网络能力建设同规划、同建设、同运行，深化网络安全漏洞管理、网络安全风险评估、网络安全监测通报等机制，建设省级网络安全公共服务体系。加强关键软硬件和信息系统的网络安全检测和评估，加快形成覆盖重要网络节点和关键业务系统的高级持续性威胁攻击监测防御能力。</w:t>
      </w:r>
      <w:r>
        <w:rPr>
          <w:rFonts w:hint="eastAsia" w:ascii="仿宋" w:hAnsi="仿宋" w:eastAsia="仿宋_GB2312"/>
          <w:kern w:val="0"/>
          <w:sz w:val="32"/>
          <w:szCs w:val="32"/>
          <w:lang w:val="zh-CN"/>
        </w:rPr>
        <w:t>提升云网一体、云边协同、云化应用下的大数据中心等云设施安全保障水平，</w:t>
      </w:r>
      <w:r>
        <w:rPr>
          <w:rFonts w:hint="eastAsia" w:ascii="仿宋" w:hAnsi="仿宋" w:eastAsia="仿宋_GB2312" w:cs="仿宋"/>
          <w:sz w:val="32"/>
          <w:szCs w:val="32"/>
        </w:rPr>
        <w:t>引导信息通信企业建设和完善安全可靠的容灾备份中心。</w:t>
      </w:r>
    </w:p>
    <w:p>
      <w:pPr>
        <w:spacing w:line="360" w:lineRule="auto"/>
        <w:ind w:firstLine="643" w:firstLineChars="200"/>
        <w:outlineLvl w:val="2"/>
        <w:rPr>
          <w:rFonts w:ascii="仿宋" w:hAnsi="仿宋" w:eastAsia="仿宋_GB2312" w:cs="仿宋"/>
          <w:b/>
          <w:bCs/>
          <w:sz w:val="32"/>
          <w:szCs w:val="32"/>
        </w:rPr>
      </w:pPr>
      <w:r>
        <w:rPr>
          <w:rFonts w:hint="eastAsia" w:ascii="仿宋" w:hAnsi="仿宋" w:eastAsia="仿宋_GB2312" w:cs="仿宋"/>
          <w:b/>
          <w:bCs/>
          <w:sz w:val="32"/>
          <w:szCs w:val="32"/>
        </w:rPr>
        <w:t>2.增强</w:t>
      </w:r>
      <w:r>
        <w:rPr>
          <w:rFonts w:hint="eastAsia" w:ascii="仿宋" w:hAnsi="仿宋" w:eastAsia="仿宋_GB2312" w:cs="仿宋"/>
          <w:b/>
          <w:bCs/>
          <w:sz w:val="32"/>
          <w:szCs w:val="32"/>
          <w:lang w:eastAsia="zh-CN"/>
        </w:rPr>
        <w:t>信息通信</w:t>
      </w:r>
      <w:r>
        <w:rPr>
          <w:rFonts w:hint="eastAsia" w:ascii="仿宋" w:hAnsi="仿宋" w:eastAsia="仿宋_GB2312" w:cs="仿宋"/>
          <w:b/>
          <w:bCs/>
          <w:sz w:val="32"/>
          <w:szCs w:val="32"/>
        </w:rPr>
        <w:t>基础设施安全保障体系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_GB2312"/>
          <w:kern w:val="0"/>
          <w:sz w:val="32"/>
          <w:szCs w:val="32"/>
          <w:lang w:val="zh-CN"/>
        </w:rPr>
      </w:pPr>
      <w:r>
        <w:rPr>
          <w:rFonts w:hint="eastAsia" w:ascii="仿宋" w:hAnsi="仿宋" w:eastAsia="仿宋_GB2312"/>
          <w:kern w:val="0"/>
          <w:sz w:val="32"/>
          <w:szCs w:val="32"/>
          <w:lang w:val="zh-CN"/>
        </w:rPr>
        <w:t>建立完善5</w:t>
      </w:r>
      <w:r>
        <w:rPr>
          <w:rFonts w:ascii="仿宋" w:hAnsi="仿宋" w:eastAsia="仿宋_GB2312"/>
          <w:kern w:val="0"/>
          <w:sz w:val="32"/>
          <w:szCs w:val="32"/>
          <w:lang w:val="zh-CN"/>
        </w:rPr>
        <w:t>G</w:t>
      </w:r>
      <w:r>
        <w:rPr>
          <w:rFonts w:hint="eastAsia" w:ascii="仿宋" w:hAnsi="仿宋" w:eastAsia="仿宋_GB2312"/>
          <w:kern w:val="0"/>
          <w:sz w:val="32"/>
          <w:szCs w:val="32"/>
          <w:lang w:val="zh-CN"/>
        </w:rPr>
        <w:t>网络、设备、应用安全测评体系，形成技术领先、应用丰富、可持续发展的5</w:t>
      </w:r>
      <w:r>
        <w:rPr>
          <w:rFonts w:ascii="仿宋" w:hAnsi="仿宋" w:eastAsia="仿宋_GB2312"/>
          <w:kern w:val="0"/>
          <w:sz w:val="32"/>
          <w:szCs w:val="32"/>
          <w:lang w:val="zh-CN"/>
        </w:rPr>
        <w:t>G</w:t>
      </w:r>
      <w:r>
        <w:rPr>
          <w:rFonts w:hint="eastAsia" w:ascii="仿宋" w:hAnsi="仿宋" w:eastAsia="仿宋_GB2312"/>
          <w:kern w:val="0"/>
          <w:sz w:val="32"/>
          <w:szCs w:val="32"/>
          <w:lang w:val="zh-CN"/>
        </w:rPr>
        <w:t>应用安全保障生态。面向5</w:t>
      </w:r>
      <w:r>
        <w:rPr>
          <w:rFonts w:ascii="仿宋" w:hAnsi="仿宋" w:eastAsia="仿宋_GB2312"/>
          <w:kern w:val="0"/>
          <w:sz w:val="32"/>
          <w:szCs w:val="32"/>
          <w:lang w:val="zh-CN"/>
        </w:rPr>
        <w:t>G</w:t>
      </w:r>
      <w:r>
        <w:rPr>
          <w:rFonts w:hint="eastAsia" w:ascii="仿宋" w:hAnsi="仿宋" w:eastAsia="仿宋_GB2312"/>
          <w:kern w:val="0"/>
          <w:sz w:val="32"/>
          <w:szCs w:val="32"/>
          <w:lang w:val="zh-CN"/>
        </w:rPr>
        <w:t>大连接融合应用场景，强化物联网基础安全管理，健全物联网卡全生命周期安全监管机制，落实建立物联网终端、网关、平台安全标签机制，全面构建基础安全管理体系。健全实施工业互联网企业网络安全分类分级管理制度，推动企业加快网络安全能力建设。持续建设完善覆盖广泛、多方联动、运行高效的工业互联网安全技术检测服务体系，健全工业互联网安全威胁检测、分析通报、处置溯源闭环机制，高效防范应对工业互联网安全威胁。加快建立车联网网络安全保障体系，扎实推进车联网卡安全管理，建立完善车联网卡监测管理技术手段，实行车联网网络安全监测评估等制度，推动建设车联网电子认证与安全通信能力，加快构建车联安全态势感知技术平台，增强车联网安全保障能力。积极推进车联网数据跨境流动安全评估与监管。前瞻布局量子通信、人工智能等新技术安全防护。建立健全与工业、能源、交通、医疗等重点行业跨部门、跨领域协同安全工作机制，提高融合应用协同安全水平。</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1" w:type="dxa"/>
          </w:tcPr>
          <w:p>
            <w:pPr>
              <w:ind w:firstLine="562" w:firstLineChars="200"/>
              <w:jc w:val="center"/>
              <w:rPr>
                <w:rFonts w:ascii="楷体" w:hAnsi="楷体" w:eastAsia="楷体" w:cs="楷体"/>
                <w:sz w:val="28"/>
                <w:szCs w:val="28"/>
              </w:rPr>
            </w:pPr>
            <w:r>
              <w:rPr>
                <w:rFonts w:hint="eastAsia" w:ascii="楷体" w:hAnsi="楷体" w:eastAsia="楷体" w:cs="楷体"/>
                <w:b/>
                <w:bCs/>
                <w:sz w:val="28"/>
                <w:szCs w:val="28"/>
              </w:rPr>
              <w:t>重点工程</w:t>
            </w:r>
            <w:r>
              <w:rPr>
                <w:rFonts w:hint="eastAsia" w:ascii="楷体" w:hAnsi="楷体" w:eastAsia="楷体" w:cs="楷体"/>
                <w:b/>
                <w:bCs/>
                <w:sz w:val="28"/>
                <w:szCs w:val="28"/>
                <w:lang w:val="en-US" w:eastAsia="zh-CN"/>
              </w:rPr>
              <w:t>8</w:t>
            </w:r>
            <w:r>
              <w:rPr>
                <w:rFonts w:hint="eastAsia" w:ascii="楷体" w:hAnsi="楷体" w:eastAsia="楷体" w:cs="楷体"/>
                <w:b/>
                <w:bCs/>
                <w:sz w:val="28"/>
                <w:szCs w:val="28"/>
              </w:rPr>
              <w:t>：5</w:t>
            </w:r>
            <w:r>
              <w:rPr>
                <w:rFonts w:ascii="楷体" w:hAnsi="楷体" w:eastAsia="楷体" w:cs="楷体"/>
                <w:b/>
                <w:bCs/>
                <w:sz w:val="28"/>
                <w:szCs w:val="28"/>
              </w:rPr>
              <w:t>G</w:t>
            </w:r>
            <w:r>
              <w:rPr>
                <w:rFonts w:hint="eastAsia" w:ascii="楷体" w:hAnsi="楷体" w:eastAsia="楷体" w:cs="楷体"/>
                <w:b/>
                <w:bCs/>
                <w:sz w:val="28"/>
                <w:szCs w:val="28"/>
              </w:rPr>
              <w:t>、工业互联网及融合网络安全创新工程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1" w:type="dxa"/>
          </w:tcPr>
          <w:p>
            <w:pPr>
              <w:ind w:firstLine="562" w:firstLineChars="200"/>
              <w:rPr>
                <w:rFonts w:ascii="楷体" w:hAnsi="楷体" w:eastAsia="楷体" w:cs="楷体"/>
                <w:sz w:val="28"/>
                <w:szCs w:val="28"/>
              </w:rPr>
            </w:pPr>
            <w:r>
              <w:rPr>
                <w:rFonts w:hint="eastAsia" w:ascii="楷体" w:hAnsi="楷体" w:eastAsia="楷体" w:cs="楷体"/>
                <w:b/>
                <w:bCs/>
                <w:sz w:val="28"/>
                <w:szCs w:val="28"/>
              </w:rPr>
              <w:t>建设目标：</w:t>
            </w:r>
            <w:r>
              <w:rPr>
                <w:rFonts w:hint="eastAsia" w:ascii="楷体" w:hAnsi="楷体" w:eastAsia="楷体" w:cs="楷体"/>
                <w:sz w:val="28"/>
                <w:szCs w:val="28"/>
              </w:rPr>
              <w:t>构建政府主导、多方协同的</w:t>
            </w:r>
            <w:r>
              <w:rPr>
                <w:rFonts w:hint="eastAsia" w:ascii="楷体" w:hAnsi="楷体" w:eastAsia="楷体" w:cs="楷体"/>
                <w:sz w:val="28"/>
                <w:szCs w:val="28"/>
                <w:lang w:eastAsia="zh-CN"/>
              </w:rPr>
              <w:t>信息通信</w:t>
            </w:r>
            <w:r>
              <w:rPr>
                <w:rFonts w:hint="eastAsia" w:ascii="楷体" w:hAnsi="楷体" w:eastAsia="楷体" w:cs="楷体"/>
                <w:sz w:val="28"/>
                <w:szCs w:val="28"/>
              </w:rPr>
              <w:t>基础设施安全保障体系，确保5</w:t>
            </w:r>
            <w:r>
              <w:rPr>
                <w:rFonts w:ascii="楷体" w:hAnsi="楷体" w:eastAsia="楷体" w:cs="楷体"/>
                <w:sz w:val="28"/>
                <w:szCs w:val="28"/>
              </w:rPr>
              <w:t>G</w:t>
            </w:r>
            <w:r>
              <w:rPr>
                <w:rFonts w:hint="eastAsia" w:ascii="楷体" w:hAnsi="楷体" w:eastAsia="楷体" w:cs="楷体"/>
                <w:sz w:val="28"/>
                <w:szCs w:val="28"/>
              </w:rPr>
              <w:t>网络及应用、工业互联网及融合应用新型网络的安全。</w:t>
            </w:r>
          </w:p>
          <w:p>
            <w:pPr>
              <w:ind w:firstLine="562" w:firstLineChars="200"/>
              <w:rPr>
                <w:rFonts w:ascii="楷体" w:hAnsi="楷体" w:eastAsia="楷体" w:cs="楷体"/>
                <w:sz w:val="28"/>
                <w:szCs w:val="28"/>
              </w:rPr>
            </w:pPr>
            <w:r>
              <w:rPr>
                <w:rFonts w:hint="eastAsia" w:ascii="楷体" w:hAnsi="楷体" w:eastAsia="楷体" w:cs="楷体"/>
                <w:b/>
                <w:bCs/>
                <w:sz w:val="28"/>
                <w:szCs w:val="28"/>
              </w:rPr>
              <w:t>建设内容：</w:t>
            </w:r>
            <w:r>
              <w:rPr>
                <w:rFonts w:hint="eastAsia" w:ascii="楷体" w:hAnsi="楷体" w:eastAsia="楷体" w:cs="楷体"/>
                <w:sz w:val="28"/>
                <w:szCs w:val="28"/>
              </w:rPr>
              <w:t>一是加强5</w:t>
            </w:r>
            <w:r>
              <w:rPr>
                <w:rFonts w:ascii="楷体" w:hAnsi="楷体" w:eastAsia="楷体" w:cs="楷体"/>
                <w:sz w:val="28"/>
                <w:szCs w:val="28"/>
              </w:rPr>
              <w:t>G</w:t>
            </w:r>
            <w:r>
              <w:rPr>
                <w:rFonts w:hint="eastAsia" w:ascii="楷体" w:hAnsi="楷体" w:eastAsia="楷体" w:cs="楷体"/>
                <w:sz w:val="28"/>
                <w:szCs w:val="28"/>
              </w:rPr>
              <w:t>网络安全测评体系和标准体系建设，开展5</w:t>
            </w:r>
            <w:r>
              <w:rPr>
                <w:rFonts w:ascii="楷体" w:hAnsi="楷体" w:eastAsia="楷体" w:cs="楷体"/>
                <w:sz w:val="28"/>
                <w:szCs w:val="28"/>
              </w:rPr>
              <w:t>G</w:t>
            </w:r>
            <w:r>
              <w:rPr>
                <w:rFonts w:hint="eastAsia" w:ascii="楷体" w:hAnsi="楷体" w:eastAsia="楷体" w:cs="楷体"/>
                <w:sz w:val="28"/>
                <w:szCs w:val="28"/>
              </w:rPr>
              <w:t>安全测评、评估、认证，建立物联网基础安全管理体系；二是协同建设工业互联网安全公共服务平台，升级工业互联网安全监测与态势感知平台，提升工业互联网安全事件监测、威胁预警、应急处置能力，增强工业互联网公共安全服务能力，助力构建工业互联网安全公共服务生态。</w:t>
            </w:r>
          </w:p>
        </w:tc>
      </w:tr>
    </w:tbl>
    <w:p>
      <w:pPr>
        <w:spacing w:line="360" w:lineRule="auto"/>
        <w:ind w:firstLine="643" w:firstLineChars="200"/>
        <w:outlineLvl w:val="2"/>
        <w:rPr>
          <w:rFonts w:ascii="仿宋" w:hAnsi="仿宋" w:eastAsia="仿宋_GB2312" w:cs="仿宋"/>
          <w:b/>
          <w:bCs/>
          <w:sz w:val="32"/>
          <w:szCs w:val="32"/>
        </w:rPr>
      </w:pPr>
      <w:r>
        <w:rPr>
          <w:rFonts w:hint="eastAsia" w:ascii="仿宋" w:hAnsi="仿宋" w:eastAsia="仿宋_GB2312" w:cs="仿宋"/>
          <w:b/>
          <w:bCs/>
          <w:sz w:val="32"/>
          <w:szCs w:val="32"/>
        </w:rPr>
        <w:t>3.完善网络数据安全治理体系</w:t>
      </w:r>
    </w:p>
    <w:p>
      <w:pPr>
        <w:spacing w:line="360" w:lineRule="auto"/>
        <w:ind w:firstLine="640" w:firstLineChars="200"/>
        <w:rPr>
          <w:rFonts w:ascii="仿宋" w:hAnsi="仿宋" w:eastAsia="仿宋_GB2312" w:cs="仿宋"/>
          <w:sz w:val="32"/>
          <w:szCs w:val="32"/>
        </w:rPr>
      </w:pPr>
      <w:r>
        <w:rPr>
          <w:rFonts w:hint="eastAsia" w:ascii="仿宋" w:hAnsi="仿宋" w:eastAsia="仿宋_GB2312" w:cs="仿宋"/>
          <w:sz w:val="32"/>
          <w:szCs w:val="32"/>
        </w:rPr>
        <w:t>深入落实国家网络数据安全法律制度，建立健全行业数据分类分级保护、重要数据目录、数据泄露通知、跨境传输、共享利用、交易流通等基础管理制度规范。完善湖南信息通信行业大数据平台和工业互联网安全监测与态势感知平台，增强基于平台的数据治理和分析应用能力，提高网络安全事件的监测发现、风险预警、应急处置综合技术保障能力。开展数据安全风险动态监测和评估，打造内生安全能力。</w:t>
      </w:r>
    </w:p>
    <w:p>
      <w:pPr>
        <w:spacing w:line="360" w:lineRule="auto"/>
        <w:ind w:firstLine="643" w:firstLineChars="200"/>
        <w:outlineLvl w:val="2"/>
        <w:rPr>
          <w:rFonts w:ascii="仿宋" w:hAnsi="仿宋" w:eastAsia="仿宋_GB2312" w:cs="仿宋"/>
          <w:b/>
          <w:bCs/>
          <w:sz w:val="32"/>
          <w:szCs w:val="32"/>
        </w:rPr>
      </w:pPr>
      <w:r>
        <w:rPr>
          <w:rFonts w:ascii="仿宋" w:hAnsi="仿宋" w:eastAsia="仿宋_GB2312" w:cs="仿宋"/>
          <w:b/>
          <w:bCs/>
          <w:sz w:val="32"/>
          <w:szCs w:val="32"/>
        </w:rPr>
        <w:t>4</w:t>
      </w:r>
      <w:r>
        <w:rPr>
          <w:rFonts w:hint="eastAsia" w:ascii="仿宋" w:hAnsi="仿宋" w:eastAsia="仿宋_GB2312" w:cs="仿宋"/>
          <w:b/>
          <w:bCs/>
          <w:sz w:val="32"/>
          <w:szCs w:val="32"/>
        </w:rPr>
        <w:t>.提升安全应急处置水平</w:t>
      </w:r>
    </w:p>
    <w:p>
      <w:pPr>
        <w:keepNext w:val="0"/>
        <w:keepLines w:val="0"/>
        <w:pageBreakBefore w:val="0"/>
        <w:widowControl/>
        <w:kinsoku/>
        <w:wordWrap/>
        <w:overflowPunct/>
        <w:topLinePunct w:val="0"/>
        <w:autoSpaceDE/>
        <w:autoSpaceDN/>
        <w:bidi w:val="0"/>
        <w:adjustRightInd/>
        <w:snapToGrid/>
        <w:ind w:firstLine="620" w:firstLineChars="200"/>
        <w:jc w:val="both"/>
        <w:textAlignment w:val="auto"/>
      </w:pPr>
      <w:r>
        <w:rPr>
          <w:rFonts w:ascii="仿宋_GB2312" w:hAnsi="仿宋_GB2312" w:eastAsia="仿宋_GB2312" w:cs="仿宋_GB2312"/>
          <w:color w:val="000000"/>
          <w:kern w:val="0"/>
          <w:sz w:val="31"/>
          <w:szCs w:val="31"/>
          <w:lang w:bidi="ar"/>
        </w:rPr>
        <w:t>鼓励企业培养和吸纳行业网络安全应急响应和重大活动保障人才</w:t>
      </w:r>
      <w:r>
        <w:rPr>
          <w:rFonts w:hint="eastAsia" w:ascii="仿宋_GB2312" w:hAnsi="仿宋_GB2312" w:eastAsia="仿宋_GB2312" w:cs="仿宋_GB2312"/>
          <w:color w:val="000000"/>
          <w:kern w:val="0"/>
          <w:sz w:val="31"/>
          <w:szCs w:val="31"/>
          <w:lang w:eastAsia="zh-CN" w:bidi="ar"/>
        </w:rPr>
        <w:t>，</w:t>
      </w:r>
      <w:r>
        <w:rPr>
          <w:rFonts w:hint="eastAsia" w:ascii="仿宋" w:hAnsi="仿宋" w:eastAsia="仿宋_GB2312" w:cs="仿宋"/>
          <w:sz w:val="32"/>
          <w:szCs w:val="32"/>
        </w:rPr>
        <w:t>汇聚行业数据资源和技术手段，打造完善全域全网一体协同的监测预警、态势感知、信息通报、应急处置的指挥体系。</w:t>
      </w:r>
      <w:r>
        <w:rPr>
          <w:rFonts w:ascii="仿宋_GB2312" w:hAnsi="仿宋_GB2312" w:eastAsia="仿宋_GB2312" w:cs="仿宋_GB2312"/>
          <w:color w:val="000000"/>
          <w:kern w:val="0"/>
          <w:sz w:val="31"/>
          <w:szCs w:val="31"/>
          <w:lang w:bidi="ar"/>
        </w:rPr>
        <w:t>完善风险较高业务的安全评估机制，</w:t>
      </w:r>
      <w:r>
        <w:rPr>
          <w:rFonts w:hint="eastAsia" w:ascii="仿宋" w:hAnsi="仿宋" w:eastAsia="仿宋_GB2312" w:cs="仿宋"/>
          <w:sz w:val="32"/>
          <w:szCs w:val="32"/>
        </w:rPr>
        <w:t>完善重大活动网络安全保障和突发网络安全事件工作预案，加强电信和互联网高效精准通信管制能力建设和机制优化</w:t>
      </w:r>
      <w:r>
        <w:rPr>
          <w:rFonts w:hint="eastAsia" w:ascii="仿宋" w:hAnsi="仿宋" w:eastAsia="仿宋_GB2312" w:cs="仿宋"/>
          <w:sz w:val="32"/>
          <w:szCs w:val="32"/>
          <w:lang w:eastAsia="zh-CN"/>
        </w:rPr>
        <w:t>，</w:t>
      </w:r>
      <w:r>
        <w:rPr>
          <w:rFonts w:ascii="仿宋_GB2312" w:hAnsi="仿宋_GB2312" w:eastAsia="仿宋_GB2312" w:cs="仿宋_GB2312"/>
          <w:color w:val="000000"/>
          <w:kern w:val="0"/>
          <w:sz w:val="31"/>
          <w:szCs w:val="31"/>
          <w:lang w:bidi="ar"/>
        </w:rPr>
        <w:t>提高网络安全突发事件预警和快速响应能力。</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outlineLvl w:val="2"/>
        <w:rPr>
          <w:rFonts w:ascii="仿宋" w:hAnsi="仿宋" w:eastAsia="仿宋_GB2312" w:cs="仿宋"/>
          <w:b/>
          <w:bCs/>
          <w:sz w:val="32"/>
          <w:szCs w:val="32"/>
        </w:rPr>
      </w:pPr>
      <w:r>
        <w:rPr>
          <w:rFonts w:ascii="仿宋" w:hAnsi="仿宋" w:eastAsia="仿宋_GB2312" w:cs="仿宋"/>
          <w:b/>
          <w:bCs/>
          <w:sz w:val="32"/>
          <w:szCs w:val="32"/>
        </w:rPr>
        <w:t>5</w:t>
      </w:r>
      <w:r>
        <w:rPr>
          <w:rFonts w:hint="eastAsia" w:ascii="仿宋" w:hAnsi="仿宋" w:eastAsia="仿宋_GB2312" w:cs="仿宋"/>
          <w:b/>
          <w:bCs/>
          <w:sz w:val="32"/>
          <w:szCs w:val="32"/>
        </w:rPr>
        <w:t>.推动网络安全产业创新发展</w:t>
      </w:r>
    </w:p>
    <w:p>
      <w:pPr>
        <w:keepNext w:val="0"/>
        <w:keepLines w:val="0"/>
        <w:pageBreakBefore w:val="0"/>
        <w:widowControl/>
        <w:tabs>
          <w:tab w:val="left" w:pos="720"/>
        </w:tabs>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鼓励企业从提供网络安全产品向产品和服务并重转变。深化开展网络安全技术应用试点示范，打造安全技术产品和解决方案资源池。打造网络安全验证示范中心，支撑建设网络安全创新应用先进示范区，引领促进网络安全产品服务规模化应用。大力推进网络产业安全园区建设，强化网络安全企业主体地位。推进安全产业集聚发展，构建信息技术应用创新引领的网络安全产业生态。围绕平台建设、企业培育、产业生态打造等方面优化产业政策环境，加强网络安全人才培养。</w:t>
      </w:r>
      <w:bookmarkEnd w:id="73"/>
      <w:bookmarkStart w:id="113" w:name="_Toc21176"/>
    </w:p>
    <w:p>
      <w:pPr>
        <w:widowControl/>
        <w:tabs>
          <w:tab w:val="left" w:pos="720"/>
        </w:tabs>
        <w:spacing w:before="200" w:after="300" w:line="360" w:lineRule="auto"/>
        <w:ind w:firstLine="643" w:firstLineChars="200"/>
        <w:jc w:val="left"/>
        <w:outlineLvl w:val="0"/>
        <w:rPr>
          <w:rFonts w:ascii="黑体" w:hAnsi="黑体" w:eastAsia="黑体" w:cs="仿宋"/>
          <w:b/>
          <w:sz w:val="32"/>
          <w:szCs w:val="32"/>
        </w:rPr>
      </w:pPr>
      <w:bookmarkStart w:id="114" w:name="_Toc28875"/>
      <w:bookmarkStart w:id="115" w:name="_Toc28229"/>
      <w:bookmarkStart w:id="116" w:name="_Toc3680"/>
      <w:r>
        <w:rPr>
          <w:rFonts w:hint="eastAsia" w:ascii="黑体" w:hAnsi="黑体" w:eastAsia="黑体" w:cs="仿宋"/>
          <w:b/>
          <w:sz w:val="32"/>
          <w:szCs w:val="32"/>
        </w:rPr>
        <w:t>四、支撑保障措施</w:t>
      </w:r>
      <w:bookmarkEnd w:id="113"/>
      <w:bookmarkEnd w:id="114"/>
      <w:bookmarkEnd w:id="115"/>
      <w:bookmarkEnd w:id="116"/>
    </w:p>
    <w:p>
      <w:pPr>
        <w:spacing w:line="360" w:lineRule="auto"/>
        <w:ind w:firstLine="643" w:firstLineChars="200"/>
        <w:outlineLvl w:val="1"/>
        <w:rPr>
          <w:rFonts w:ascii="楷体" w:hAnsi="楷体" w:eastAsia="楷体" w:cs="楷体"/>
          <w:b/>
          <w:bCs/>
          <w:sz w:val="32"/>
          <w:szCs w:val="32"/>
        </w:rPr>
      </w:pPr>
      <w:bookmarkStart w:id="117" w:name="_Toc30685"/>
      <w:bookmarkStart w:id="118" w:name="_Toc9590"/>
      <w:bookmarkStart w:id="119" w:name="_Toc24604"/>
      <w:bookmarkStart w:id="120" w:name="_Toc27990"/>
      <w:r>
        <w:rPr>
          <w:rFonts w:hint="eastAsia" w:ascii="楷体" w:hAnsi="楷体" w:eastAsia="楷体" w:cs="楷体"/>
          <w:b/>
          <w:bCs/>
          <w:sz w:val="32"/>
          <w:szCs w:val="32"/>
        </w:rPr>
        <w:t>（一）强化规划组织实施</w:t>
      </w:r>
      <w:bookmarkEnd w:id="117"/>
      <w:bookmarkEnd w:id="118"/>
      <w:bookmarkEnd w:id="119"/>
      <w:bookmarkEnd w:id="120"/>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强化组织领导</w:t>
      </w:r>
      <w:r>
        <w:rPr>
          <w:rFonts w:hint="eastAsia" w:ascii="仿宋_GB2312" w:eastAsia="仿宋_GB2312"/>
          <w:sz w:val="32"/>
          <w:szCs w:val="32"/>
        </w:rPr>
        <w:t>。</w:t>
      </w:r>
      <w:r>
        <w:rPr>
          <w:rFonts w:hint="eastAsia" w:ascii="仿宋_GB2312" w:hAnsi="仿宋_GB2312" w:eastAsia="仿宋_GB2312" w:cs="仿宋_GB2312"/>
          <w:color w:val="000000"/>
          <w:kern w:val="0"/>
          <w:sz w:val="31"/>
          <w:szCs w:val="31"/>
          <w:lang w:bidi="ar"/>
        </w:rPr>
        <w:t>各职能部门在信息</w:t>
      </w:r>
      <w:r>
        <w:rPr>
          <w:rFonts w:hint="eastAsia" w:ascii="仿宋_GB2312" w:hAnsi="仿宋_GB2312" w:eastAsia="仿宋_GB2312" w:cs="仿宋_GB2312"/>
          <w:color w:val="000000"/>
          <w:kern w:val="0"/>
          <w:sz w:val="31"/>
          <w:szCs w:val="31"/>
          <w:lang w:eastAsia="zh-CN" w:bidi="ar"/>
        </w:rPr>
        <w:t>通信</w:t>
      </w:r>
      <w:r>
        <w:rPr>
          <w:rFonts w:hint="eastAsia" w:ascii="仿宋_GB2312" w:hAnsi="仿宋_GB2312" w:eastAsia="仿宋_GB2312" w:cs="仿宋_GB2312"/>
          <w:color w:val="000000"/>
          <w:kern w:val="0"/>
          <w:sz w:val="31"/>
          <w:szCs w:val="31"/>
          <w:lang w:bidi="ar"/>
        </w:rPr>
        <w:t>基础设施建设中发挥引领作用，细化落实规划中的各项主要任务和重点工程，对重点工程建立跨部门协调联动机制，形成实施合力。</w:t>
      </w:r>
    </w:p>
    <w:p>
      <w:pPr>
        <w:spacing w:line="360" w:lineRule="auto"/>
        <w:ind w:firstLine="643" w:firstLineChars="200"/>
        <w:rPr>
          <w:rFonts w:ascii="仿宋_GB2312" w:eastAsia="仿宋_GB2312"/>
          <w:sz w:val="32"/>
          <w:szCs w:val="32"/>
        </w:rPr>
      </w:pPr>
      <w:r>
        <w:rPr>
          <w:rFonts w:hint="eastAsia" w:ascii="仿宋_GB2312" w:eastAsia="仿宋_GB2312"/>
          <w:b/>
          <w:bCs/>
          <w:sz w:val="32"/>
          <w:szCs w:val="32"/>
        </w:rPr>
        <w:t>加强规划衔接</w:t>
      </w:r>
      <w:r>
        <w:rPr>
          <w:rFonts w:hint="eastAsia" w:ascii="仿宋_GB2312" w:eastAsia="仿宋_GB2312"/>
          <w:sz w:val="32"/>
          <w:szCs w:val="32"/>
        </w:rPr>
        <w:t>。加强5</w:t>
      </w:r>
      <w:r>
        <w:rPr>
          <w:rFonts w:ascii="仿宋_GB2312" w:eastAsia="仿宋_GB2312"/>
          <w:sz w:val="32"/>
          <w:szCs w:val="32"/>
        </w:rPr>
        <w:t>G</w:t>
      </w:r>
      <w:r>
        <w:rPr>
          <w:rFonts w:hint="eastAsia" w:ascii="仿宋_GB2312" w:eastAsia="仿宋_GB2312"/>
          <w:sz w:val="32"/>
          <w:szCs w:val="32"/>
        </w:rPr>
        <w:t>、数据中心等新一代信息</w:t>
      </w:r>
      <w:r>
        <w:rPr>
          <w:rFonts w:hint="eastAsia" w:ascii="仿宋_GB2312" w:eastAsia="仿宋_GB2312"/>
          <w:sz w:val="32"/>
          <w:szCs w:val="32"/>
          <w:lang w:eastAsia="zh-CN"/>
        </w:rPr>
        <w:t>通信</w:t>
      </w:r>
      <w:r>
        <w:rPr>
          <w:rFonts w:hint="eastAsia" w:ascii="仿宋_GB2312" w:eastAsia="仿宋_GB2312"/>
          <w:sz w:val="32"/>
          <w:szCs w:val="32"/>
        </w:rPr>
        <w:t>基础设施专项规划与</w:t>
      </w:r>
      <w:r>
        <w:rPr>
          <w:rFonts w:hint="eastAsia" w:ascii="仿宋_GB2312" w:eastAsia="仿宋_GB2312"/>
          <w:sz w:val="32"/>
          <w:szCs w:val="32"/>
          <w:lang w:eastAsia="zh-CN"/>
        </w:rPr>
        <w:t>总体规划、</w:t>
      </w:r>
      <w:r>
        <w:rPr>
          <w:rFonts w:hint="eastAsia" w:ascii="仿宋_GB2312" w:eastAsia="仿宋_GB2312"/>
          <w:sz w:val="32"/>
          <w:szCs w:val="32"/>
        </w:rPr>
        <w:t>国土空间规划有效衔接，发挥规划引导作用，确保规划实施见效。</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做好监测评估</w:t>
      </w:r>
      <w:r>
        <w:rPr>
          <w:rFonts w:hint="eastAsia" w:ascii="仿宋_GB2312" w:eastAsia="仿宋_GB2312"/>
          <w:sz w:val="32"/>
          <w:szCs w:val="32"/>
        </w:rPr>
        <w:t>。强化统计、监测、分析和预警工作，加强规划实施情况动态监测，开展规划实施中期评估和总结评估，及时发现并解决规划实施中出现的问题。</w:t>
      </w:r>
    </w:p>
    <w:p>
      <w:pPr>
        <w:spacing w:line="360" w:lineRule="auto"/>
        <w:ind w:firstLine="643" w:firstLineChars="200"/>
        <w:outlineLvl w:val="1"/>
        <w:rPr>
          <w:rFonts w:ascii="楷体" w:hAnsi="楷体" w:eastAsia="楷体" w:cs="楷体"/>
          <w:b/>
          <w:bCs/>
          <w:sz w:val="32"/>
          <w:szCs w:val="32"/>
        </w:rPr>
      </w:pPr>
      <w:bookmarkStart w:id="121" w:name="_Toc17776"/>
      <w:bookmarkStart w:id="122" w:name="_Toc14590"/>
      <w:bookmarkStart w:id="123" w:name="_Toc13006"/>
      <w:bookmarkStart w:id="124" w:name="_Toc22579"/>
      <w:r>
        <w:rPr>
          <w:rFonts w:hint="eastAsia" w:ascii="楷体" w:hAnsi="楷体" w:eastAsia="楷体" w:cs="楷体"/>
          <w:b/>
          <w:bCs/>
          <w:sz w:val="32"/>
          <w:szCs w:val="32"/>
        </w:rPr>
        <w:t>（二）贯彻落实政策标准</w:t>
      </w:r>
      <w:bookmarkEnd w:id="121"/>
      <w:bookmarkEnd w:id="122"/>
      <w:bookmarkEnd w:id="123"/>
      <w:bookmarkEnd w:id="124"/>
    </w:p>
    <w:p>
      <w:pPr>
        <w:spacing w:line="360" w:lineRule="auto"/>
        <w:ind w:firstLine="643" w:firstLineChars="200"/>
      </w:pPr>
      <w:r>
        <w:rPr>
          <w:rFonts w:hint="eastAsia" w:ascii="仿宋_GB2312" w:eastAsia="仿宋_GB2312"/>
          <w:b/>
          <w:bCs/>
          <w:sz w:val="32"/>
          <w:szCs w:val="32"/>
        </w:rPr>
        <w:t>落实信息通信基础设施保护法规。</w:t>
      </w:r>
      <w:r>
        <w:rPr>
          <w:rFonts w:hint="eastAsia" w:ascii="仿宋_GB2312" w:eastAsia="仿宋_GB2312"/>
          <w:sz w:val="32"/>
          <w:szCs w:val="32"/>
        </w:rPr>
        <w:t>开展5G、基站环保、网络和信息安全等科普宣传和法治教育培训，依据《最高人民法院关于审理破坏公用电信设施刑事案件具体应用法律若干问题的解释》（法释〔2004〕21号）严厉惩治破坏公用电信基础设施的违法犯罪行为，加强信息通信基础设施建设运营保护。</w:t>
      </w:r>
      <w:r>
        <w:rPr>
          <w:rFonts w:hint="eastAsia" w:ascii="仿宋_GB2312" w:eastAsia="仿宋_GB2312"/>
          <w:sz w:val="32"/>
          <w:szCs w:val="32"/>
          <w:highlight w:val="none"/>
          <w:lang w:eastAsia="zh-CN"/>
        </w:rPr>
        <w:t>积极争取出台信息通信基础设施与水电气暖同等重要的公用基础设施定位的政策。</w:t>
      </w:r>
    </w:p>
    <w:p>
      <w:pPr>
        <w:spacing w:line="360" w:lineRule="auto"/>
        <w:ind w:firstLine="643" w:firstLineChars="200"/>
        <w:rPr>
          <w:rFonts w:ascii="仿宋" w:hAnsi="仿宋" w:eastAsia="仿宋_GB2312" w:cs="仿宋"/>
          <w:sz w:val="32"/>
          <w:szCs w:val="32"/>
        </w:rPr>
      </w:pPr>
      <w:r>
        <w:rPr>
          <w:rFonts w:hint="eastAsia" w:ascii="仿宋_GB2312" w:eastAsia="仿宋_GB2312"/>
          <w:b/>
          <w:bCs/>
          <w:sz w:val="32"/>
          <w:szCs w:val="32"/>
        </w:rPr>
        <w:t>完善5G应用创新引领的配套政策。</w:t>
      </w:r>
      <w:r>
        <w:rPr>
          <w:rFonts w:hint="eastAsia" w:ascii="仿宋_GB2312" w:eastAsia="仿宋_GB2312"/>
          <w:sz w:val="32"/>
          <w:szCs w:val="32"/>
        </w:rPr>
        <w:t>落实5G应用和产品标准，协同推动5G融合应用的政策创新。推动各级政府围绕5G应用落地、生态构建、产业培育、网络建设等工作，出台并落实政策举措，促进5G融合应用加快落地。</w:t>
      </w:r>
    </w:p>
    <w:p>
      <w:pPr>
        <w:spacing w:line="360" w:lineRule="auto"/>
        <w:ind w:firstLine="643" w:firstLineChars="200"/>
        <w:outlineLvl w:val="1"/>
        <w:rPr>
          <w:rFonts w:hint="eastAsia" w:ascii="楷体" w:hAnsi="楷体" w:eastAsia="楷体" w:cs="楷体"/>
          <w:b/>
          <w:bCs/>
          <w:color w:val="auto"/>
          <w:sz w:val="32"/>
          <w:szCs w:val="32"/>
        </w:rPr>
      </w:pPr>
      <w:bookmarkStart w:id="125" w:name="_Toc22428"/>
      <w:bookmarkStart w:id="126" w:name="_Toc3196"/>
      <w:bookmarkStart w:id="127" w:name="_Toc22728"/>
      <w:bookmarkStart w:id="128" w:name="_Toc78"/>
      <w:r>
        <w:rPr>
          <w:rFonts w:hint="eastAsia" w:ascii="楷体" w:hAnsi="楷体" w:eastAsia="楷体" w:cs="楷体"/>
          <w:b/>
          <w:bCs/>
          <w:sz w:val="32"/>
          <w:szCs w:val="32"/>
        </w:rPr>
        <w:t>（三）</w:t>
      </w:r>
      <w:r>
        <w:rPr>
          <w:rFonts w:hint="eastAsia" w:ascii="楷体" w:hAnsi="楷体" w:eastAsia="楷体" w:cs="楷体"/>
          <w:b/>
          <w:bCs/>
          <w:sz w:val="32"/>
          <w:szCs w:val="32"/>
          <w:lang w:eastAsia="zh-CN"/>
        </w:rPr>
        <w:t>积极</w:t>
      </w:r>
      <w:bookmarkEnd w:id="125"/>
      <w:bookmarkEnd w:id="126"/>
      <w:bookmarkEnd w:id="127"/>
      <w:r>
        <w:rPr>
          <w:rFonts w:hint="eastAsia" w:ascii="楷体" w:hAnsi="楷体" w:eastAsia="楷体" w:cs="楷体"/>
          <w:b/>
          <w:bCs/>
          <w:color w:val="auto"/>
          <w:sz w:val="32"/>
          <w:szCs w:val="32"/>
          <w:lang w:eastAsia="zh-CN"/>
        </w:rPr>
        <w:t>引导多方支持</w:t>
      </w:r>
      <w:bookmarkEnd w:id="128"/>
    </w:p>
    <w:p>
      <w:pPr>
        <w:spacing w:line="360" w:lineRule="auto"/>
        <w:ind w:firstLine="640" w:firstLineChars="200"/>
        <w:rPr>
          <w:rFonts w:ascii="仿宋" w:hAnsi="仿宋" w:eastAsia="仿宋_GB2312" w:cs="仿宋"/>
          <w:sz w:val="32"/>
          <w:szCs w:val="32"/>
        </w:rPr>
      </w:pPr>
      <w:r>
        <w:rPr>
          <w:rFonts w:hint="eastAsia" w:ascii="仿宋_GB2312" w:eastAsia="仿宋_GB2312"/>
          <w:sz w:val="32"/>
          <w:szCs w:val="32"/>
        </w:rPr>
        <w:t>争取国家电信普遍服务试点，强化财政补助资金的统筹，优先支持配套政策落实到位的地区开展农村信息通信基础设施建设，支撑乡村振兴。依托工业和信息化领域财政专项资金作用，大力支持5G、国家级互联网骨干直联点、IPv6等重点项目建设，充分用好政府首购、直购等政策，加大对信息化服务的采购力度。推动各级政府部门加快完善5G、大数据中心等新基建项目在公共资源免费开放、社会杆塔共建共享、用电优惠等方面的支持政策。完善行业市场开放配套政策，鼓励和支持多渠道社会投资参与新型基础设施建设。</w:t>
      </w:r>
    </w:p>
    <w:p>
      <w:pPr>
        <w:spacing w:line="360" w:lineRule="auto"/>
        <w:ind w:firstLine="643" w:firstLineChars="200"/>
        <w:outlineLvl w:val="1"/>
        <w:rPr>
          <w:rFonts w:ascii="楷体" w:hAnsi="楷体" w:eastAsia="楷体" w:cs="楷体"/>
          <w:b/>
          <w:bCs/>
          <w:sz w:val="32"/>
          <w:szCs w:val="32"/>
        </w:rPr>
      </w:pPr>
      <w:bookmarkStart w:id="129" w:name="_Toc23194"/>
      <w:bookmarkStart w:id="130" w:name="_Toc16306"/>
      <w:bookmarkStart w:id="131" w:name="_Toc2206"/>
      <w:bookmarkStart w:id="132" w:name="_Toc3606"/>
      <w:r>
        <w:rPr>
          <w:rFonts w:hint="eastAsia" w:ascii="楷体" w:hAnsi="楷体" w:eastAsia="楷体" w:cs="楷体"/>
          <w:b/>
          <w:bCs/>
          <w:sz w:val="32"/>
          <w:szCs w:val="32"/>
        </w:rPr>
        <w:t>（四）加强专业人才队伍建设</w:t>
      </w:r>
      <w:bookmarkEnd w:id="129"/>
      <w:bookmarkEnd w:id="130"/>
      <w:bookmarkEnd w:id="131"/>
      <w:bookmarkEnd w:id="132"/>
    </w:p>
    <w:p>
      <w:pPr>
        <w:widowControl/>
        <w:spacing w:line="360" w:lineRule="auto"/>
        <w:ind w:firstLine="640" w:firstLineChars="200"/>
        <w:jc w:val="left"/>
        <w:rPr>
          <w:rFonts w:ascii="仿宋" w:hAnsi="仿宋" w:eastAsia="仿宋_GB2312" w:cs="仿宋"/>
          <w:sz w:val="32"/>
          <w:szCs w:val="32"/>
        </w:rPr>
      </w:pPr>
      <w:r>
        <w:rPr>
          <w:rFonts w:hint="eastAsia" w:ascii="仿宋_GB2312" w:eastAsia="仿宋_GB2312"/>
          <w:sz w:val="32"/>
          <w:szCs w:val="32"/>
        </w:rPr>
        <w:t>加强人才培养力度，充分发挥企业、科研机构、高校、行业协会、培训机构等各方作用，利用学历教育、非学历教育、短期培训</w:t>
      </w:r>
      <w:r>
        <w:rPr>
          <w:rFonts w:hint="eastAsia" w:ascii="仿宋_GB2312" w:eastAsia="仿宋_GB2312"/>
          <w:sz w:val="32"/>
          <w:szCs w:val="32"/>
          <w:lang w:eastAsia="zh-CN"/>
        </w:rPr>
        <w:t>、“传帮带”</w:t>
      </w:r>
      <w:r>
        <w:rPr>
          <w:rFonts w:hint="eastAsia" w:ascii="仿宋_GB2312" w:eastAsia="仿宋_GB2312"/>
          <w:sz w:val="32"/>
          <w:szCs w:val="32"/>
        </w:rPr>
        <w:t>等多种途径和方式，建立完善多层次人才合作培养模式，培养创新型、应用型、技能型人才。加大人才引进力度，将特殊紧缺人才引进列入省人才引进目录，鼓励有条件的机构和企业，引进国际顶尖科学家、高技能人才和高水平创新团队。完善人才发展和管理配套制度，优化人才使用和激励机制，提高专业技术人才自主创新和参与科研成果产业化的积极性和主动性。完善通信人才评价和职业水平考试工作，加强职业技能培训和鉴定工作。</w:t>
      </w:r>
      <w:r>
        <w:rPr>
          <w:rFonts w:hint="eastAsia" w:ascii="仿宋" w:hAnsi="仿宋" w:eastAsia="仿宋_GB2312" w:cs="仿宋"/>
          <w:sz w:val="32"/>
          <w:szCs w:val="32"/>
        </w:rPr>
        <w:br w:type="page"/>
      </w:r>
    </w:p>
    <w:p>
      <w:pPr>
        <w:widowControl/>
        <w:jc w:val="center"/>
        <w:outlineLvl w:val="0"/>
        <w:rPr>
          <w:rFonts w:ascii="仿宋" w:hAnsi="仿宋" w:eastAsia="仿宋" w:cs="仿宋"/>
          <w:sz w:val="32"/>
          <w:szCs w:val="32"/>
        </w:rPr>
      </w:pPr>
      <w:bookmarkStart w:id="133" w:name="_Toc24571"/>
      <w:bookmarkStart w:id="134" w:name="_Toc21808"/>
      <w:bookmarkStart w:id="135" w:name="_Toc26251"/>
      <w:bookmarkStart w:id="136" w:name="_Toc10298"/>
      <w:bookmarkStart w:id="137" w:name="_Toc20963"/>
      <w:r>
        <w:rPr>
          <w:rFonts w:hint="eastAsia" w:ascii="仿宋" w:hAnsi="仿宋" w:eastAsia="仿宋_GB2312" w:cs="仿宋"/>
          <w:b/>
          <w:bCs/>
          <w:sz w:val="32"/>
          <w:szCs w:val="32"/>
        </w:rPr>
        <w:t>英文缩写释义</w:t>
      </w:r>
      <w:bookmarkEnd w:id="133"/>
      <w:bookmarkEnd w:id="134"/>
      <w:bookmarkEnd w:id="135"/>
      <w:bookmarkEnd w:id="136"/>
      <w:bookmarkEnd w:id="137"/>
    </w:p>
    <w:tbl>
      <w:tblPr>
        <w:tblStyle w:val="19"/>
        <w:tblW w:w="9037" w:type="dxa"/>
        <w:tblInd w:w="0" w:type="dxa"/>
        <w:tblLayout w:type="fixed"/>
        <w:tblCellMar>
          <w:top w:w="0" w:type="dxa"/>
          <w:left w:w="108" w:type="dxa"/>
          <w:bottom w:w="0" w:type="dxa"/>
          <w:right w:w="108" w:type="dxa"/>
        </w:tblCellMar>
      </w:tblPr>
      <w:tblGrid>
        <w:gridCol w:w="1300"/>
        <w:gridCol w:w="4364"/>
        <w:gridCol w:w="3373"/>
      </w:tblGrid>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英文简称</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英文全称</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中文全称</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2G</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ascii="仿宋_GB2312" w:hAnsi="仿宋_GB2312" w:eastAsia="仿宋_GB2312" w:cs="仿宋_GB2312"/>
                <w:color w:val="000000"/>
                <w:kern w:val="0"/>
                <w:sz w:val="24"/>
                <w:szCs w:val="24"/>
                <w:lang w:bidi="ar"/>
              </w:rPr>
              <w:t>2-Generation wireless telephone technology</w:t>
            </w:r>
            <w:r>
              <w:rPr>
                <w:rFonts w:hint="eastAsia" w:ascii="仿宋_GB2312" w:hAnsi="仿宋_GB2312" w:eastAsia="仿宋_GB2312" w:cs="仿宋_GB2312"/>
                <w:color w:val="000000"/>
                <w:kern w:val="0"/>
                <w:sz w:val="24"/>
                <w:szCs w:val="24"/>
                <w:lang w:bidi="ar"/>
              </w:rPr>
              <w:t xml:space="preserve"> technology</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第二代移动通信技术</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3G</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3rd-Generation</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第三代移动通信技术</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4G</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the 4th generation mobile communication technology</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第四代移动通信技术</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5G</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5th-Generation Mobile Communication Technology</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第五代移动通信技术</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IDC</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Internet Data Center</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互联网数据中心</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PUE</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Power Usage Effectiveness</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电源使用效率</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IPV6</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Internet Protocol Version 6</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互联网协议第6版</w:t>
            </w:r>
          </w:p>
        </w:tc>
      </w:tr>
      <w:tr>
        <w:tblPrEx>
          <w:tblCellMar>
            <w:top w:w="0" w:type="dxa"/>
            <w:left w:w="108" w:type="dxa"/>
            <w:bottom w:w="0" w:type="dxa"/>
            <w:right w:w="108" w:type="dxa"/>
          </w:tblCellMar>
        </w:tblPrEx>
        <w:trPr>
          <w:trHeight w:val="277"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LTE</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Long Term Evolution</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通用移动通信技术的长期演进</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IPTV</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Internet Protocol Television</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交互式网络电视</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DNS</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Domain Name System</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域名系统</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App</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application</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手机软件</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Mbit</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Megabytes</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兆字节</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Gbps</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Giga bits Per Second</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千兆比特每秒</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Mbps</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Million bits per second</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兆比特每秒</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NB-IoT</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Narrow Band Internet of Things</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窄带物联网</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TB</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Terabyte</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太字节</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PB</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Petabyte</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拍字节</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MHz</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million of cycles per second</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兆赫</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ODN</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optical distribution network</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光分配网</w:t>
            </w:r>
          </w:p>
        </w:tc>
      </w:tr>
      <w:tr>
        <w:tblPrEx>
          <w:tblCellMar>
            <w:top w:w="0" w:type="dxa"/>
            <w:left w:w="108" w:type="dxa"/>
            <w:bottom w:w="0" w:type="dxa"/>
            <w:right w:w="108" w:type="dxa"/>
          </w:tblCellMar>
        </w:tblPrEx>
        <w:trPr>
          <w:trHeight w:val="1300"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PK</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Phytium Kylin</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PK体系指基于国产飞腾（Phytium）CPU和麒麟（Kylin）操作系统的技术和产业体系，被誉为“中国架构”</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PON</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Passive Optical Network</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无源光纤网络</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SDN</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Software Defined Network</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软件定义网络</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NFV</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Network Functions Virtualization</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网络功能虚拟化</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SRv6</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egment Routing IPv6</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IPv6分段路由</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VXLAN</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Virtual Extensible Local Area Network</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虚拟扩展局域网</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OXC</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optical cross-connect</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光交叉连接</w:t>
            </w:r>
          </w:p>
        </w:tc>
      </w:tr>
      <w:tr>
        <w:tblPrEx>
          <w:tblCellMar>
            <w:top w:w="0" w:type="dxa"/>
            <w:left w:w="108" w:type="dxa"/>
            <w:bottom w:w="0" w:type="dxa"/>
            <w:right w:w="108" w:type="dxa"/>
          </w:tblCellMar>
        </w:tblPrEx>
        <w:trPr>
          <w:trHeight w:val="69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LTE-Cat1</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Long Term Evolution UE-Category1</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用户设备LTE网络接入能力等级为1</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IaaS</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Infrastructure as a Service</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基础设施即服务</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PaaS</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Platform as a Service</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平台即服务</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MEC</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Mobile Edge Computing</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移动边缘计算</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CDN</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Content Delivery Network</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内容分发网络</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IT</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Information Technology</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信息技术</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CT</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Communication techonology</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通信技术</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DT</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Data Technology</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数据技术</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C-V2X</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Cellular Vehicle-to-Everything</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基于蜂窝网络的车用无线通信技术</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ICT</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Information Communication Technology technology</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信息通信技术</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AR</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Augmented Reality</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增强现实</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VR</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Virtual Reality</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虚拟现实</w:t>
            </w:r>
          </w:p>
        </w:tc>
      </w:tr>
      <w:tr>
        <w:tblPrEx>
          <w:tblCellMar>
            <w:top w:w="0" w:type="dxa"/>
            <w:left w:w="108" w:type="dxa"/>
            <w:bottom w:w="0" w:type="dxa"/>
            <w:right w:w="108" w:type="dxa"/>
          </w:tblCellMar>
        </w:tblPrEx>
        <w:trPr>
          <w:trHeight w:val="283" w:hRule="exact"/>
        </w:trPr>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ISP</w:t>
            </w:r>
          </w:p>
        </w:tc>
        <w:tc>
          <w:tcPr>
            <w:tcW w:w="4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Internet Service Provider</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互联网服务提供商</w:t>
            </w:r>
          </w:p>
        </w:tc>
      </w:tr>
    </w:tbl>
    <w:p>
      <w:pPr>
        <w:widowControl/>
        <w:jc w:val="left"/>
        <w:rPr>
          <w:rFonts w:ascii="仿宋" w:hAnsi="仿宋" w:eastAsia="仿宋_GB2312" w:cs="仿宋"/>
          <w:sz w:val="32"/>
          <w:szCs w:val="32"/>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9001224"/>
    </w:sdtPr>
    <w:sdtContent>
      <w:sdt>
        <w:sdtPr>
          <w:id w:val="1728636285"/>
        </w:sdtPr>
        <w:sdtContent>
          <w:p>
            <w:pPr>
              <w:pStyle w:val="2"/>
              <w:jc w:val="center"/>
            </w:pP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cs="宋体"/>
                              <w:sz w:val="28"/>
                              <w:szCs w:val="28"/>
                            </w:rPr>
                            <w:id w:val="-1921624654"/>
                          </w:sdtPr>
                          <w:sdtEndPr>
                            <w:rPr>
                              <w:rFonts w:hint="eastAsia" w:ascii="宋体" w:hAnsi="宋体" w:cs="宋体"/>
                              <w:sz w:val="28"/>
                              <w:szCs w:val="28"/>
                            </w:rPr>
                          </w:sdtEndPr>
                          <w:sdtContent>
                            <w:p>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3 -</w:t>
                              </w:r>
                              <w:r>
                                <w:rPr>
                                  <w:rFonts w:hint="eastAsia" w:ascii="宋体" w:hAnsi="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宋体" w:hAnsi="宋体" w:cs="宋体"/>
                        <w:sz w:val="28"/>
                        <w:szCs w:val="28"/>
                      </w:rPr>
                      <w:id w:val="-1921624654"/>
                    </w:sdtPr>
                    <w:sdtEndPr>
                      <w:rPr>
                        <w:rFonts w:hint="eastAsia" w:ascii="宋体" w:hAnsi="宋体" w:cs="宋体"/>
                        <w:sz w:val="28"/>
                        <w:szCs w:val="28"/>
                      </w:rPr>
                    </w:sdtEndPr>
                    <w:sdtContent>
                      <w:p>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3 -</w:t>
                        </w:r>
                        <w:r>
                          <w:rPr>
                            <w:rFonts w:hint="eastAsia" w:ascii="宋体" w:hAnsi="宋体" w:cs="宋体"/>
                            <w:sz w:val="28"/>
                            <w:szCs w:val="28"/>
                          </w:rPr>
                          <w:fldChar w:fldCharType="end"/>
                        </w:r>
                      </w:p>
                    </w:sdtContent>
                  </w:sd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42"/>
    <w:rsid w:val="00003147"/>
    <w:rsid w:val="0000533E"/>
    <w:rsid w:val="0000573C"/>
    <w:rsid w:val="00006670"/>
    <w:rsid w:val="0001072D"/>
    <w:rsid w:val="0001764B"/>
    <w:rsid w:val="000204A7"/>
    <w:rsid w:val="0002067B"/>
    <w:rsid w:val="000218AD"/>
    <w:rsid w:val="000223E6"/>
    <w:rsid w:val="000259A8"/>
    <w:rsid w:val="00032D7C"/>
    <w:rsid w:val="00032F26"/>
    <w:rsid w:val="00034C19"/>
    <w:rsid w:val="00040D49"/>
    <w:rsid w:val="00045EBF"/>
    <w:rsid w:val="000521AC"/>
    <w:rsid w:val="00056A7D"/>
    <w:rsid w:val="00056E50"/>
    <w:rsid w:val="00057F85"/>
    <w:rsid w:val="00061707"/>
    <w:rsid w:val="0006203E"/>
    <w:rsid w:val="000644C2"/>
    <w:rsid w:val="00064A0A"/>
    <w:rsid w:val="00067C23"/>
    <w:rsid w:val="000719DB"/>
    <w:rsid w:val="00076035"/>
    <w:rsid w:val="00083DD6"/>
    <w:rsid w:val="000849D6"/>
    <w:rsid w:val="00090AEA"/>
    <w:rsid w:val="00091DA3"/>
    <w:rsid w:val="00092621"/>
    <w:rsid w:val="00092C29"/>
    <w:rsid w:val="00093162"/>
    <w:rsid w:val="00094853"/>
    <w:rsid w:val="00095A09"/>
    <w:rsid w:val="00095FF3"/>
    <w:rsid w:val="000A312C"/>
    <w:rsid w:val="000A4622"/>
    <w:rsid w:val="000A6455"/>
    <w:rsid w:val="000A7804"/>
    <w:rsid w:val="000B1E9C"/>
    <w:rsid w:val="000B2DC3"/>
    <w:rsid w:val="000B393F"/>
    <w:rsid w:val="000B3A85"/>
    <w:rsid w:val="000B760C"/>
    <w:rsid w:val="000B78A9"/>
    <w:rsid w:val="000C02F3"/>
    <w:rsid w:val="000C0711"/>
    <w:rsid w:val="000C1694"/>
    <w:rsid w:val="000C2080"/>
    <w:rsid w:val="000C3B0E"/>
    <w:rsid w:val="000C63E1"/>
    <w:rsid w:val="000D0C2B"/>
    <w:rsid w:val="000D0E6B"/>
    <w:rsid w:val="000D36F6"/>
    <w:rsid w:val="000D4761"/>
    <w:rsid w:val="000D5043"/>
    <w:rsid w:val="000E1ECB"/>
    <w:rsid w:val="000E7477"/>
    <w:rsid w:val="000F69AE"/>
    <w:rsid w:val="00100788"/>
    <w:rsid w:val="001010C0"/>
    <w:rsid w:val="00101BDF"/>
    <w:rsid w:val="00101F57"/>
    <w:rsid w:val="00101F75"/>
    <w:rsid w:val="00105BC8"/>
    <w:rsid w:val="001061BB"/>
    <w:rsid w:val="001103F5"/>
    <w:rsid w:val="0011520A"/>
    <w:rsid w:val="001156BD"/>
    <w:rsid w:val="00116FCF"/>
    <w:rsid w:val="001178CB"/>
    <w:rsid w:val="0013258E"/>
    <w:rsid w:val="0013314C"/>
    <w:rsid w:val="00134093"/>
    <w:rsid w:val="001367E2"/>
    <w:rsid w:val="00141A2C"/>
    <w:rsid w:val="00141A5F"/>
    <w:rsid w:val="001423F1"/>
    <w:rsid w:val="00142602"/>
    <w:rsid w:val="0014475F"/>
    <w:rsid w:val="00144903"/>
    <w:rsid w:val="001449BA"/>
    <w:rsid w:val="00145C26"/>
    <w:rsid w:val="0014798C"/>
    <w:rsid w:val="001511A1"/>
    <w:rsid w:val="00152B52"/>
    <w:rsid w:val="00153509"/>
    <w:rsid w:val="00156258"/>
    <w:rsid w:val="00161512"/>
    <w:rsid w:val="00163124"/>
    <w:rsid w:val="0016676B"/>
    <w:rsid w:val="00170597"/>
    <w:rsid w:val="00172A27"/>
    <w:rsid w:val="001730A5"/>
    <w:rsid w:val="001740E1"/>
    <w:rsid w:val="00174E76"/>
    <w:rsid w:val="00175259"/>
    <w:rsid w:val="0018003E"/>
    <w:rsid w:val="00180BE3"/>
    <w:rsid w:val="00181E18"/>
    <w:rsid w:val="00181E95"/>
    <w:rsid w:val="0018348D"/>
    <w:rsid w:val="00183B5E"/>
    <w:rsid w:val="00192F36"/>
    <w:rsid w:val="00193C2E"/>
    <w:rsid w:val="00193F29"/>
    <w:rsid w:val="001944FD"/>
    <w:rsid w:val="0019542C"/>
    <w:rsid w:val="00196E4A"/>
    <w:rsid w:val="001A3584"/>
    <w:rsid w:val="001B1790"/>
    <w:rsid w:val="001B2231"/>
    <w:rsid w:val="001B2CC6"/>
    <w:rsid w:val="001B525C"/>
    <w:rsid w:val="001B54CE"/>
    <w:rsid w:val="001B5975"/>
    <w:rsid w:val="001B646A"/>
    <w:rsid w:val="001B7203"/>
    <w:rsid w:val="001C10B0"/>
    <w:rsid w:val="001C12AF"/>
    <w:rsid w:val="001C1359"/>
    <w:rsid w:val="001C147F"/>
    <w:rsid w:val="001C1E66"/>
    <w:rsid w:val="001C6E49"/>
    <w:rsid w:val="001C72A2"/>
    <w:rsid w:val="001C7D63"/>
    <w:rsid w:val="001D45A8"/>
    <w:rsid w:val="001D525C"/>
    <w:rsid w:val="001D79A3"/>
    <w:rsid w:val="001E12D3"/>
    <w:rsid w:val="001E21FA"/>
    <w:rsid w:val="001E5FCB"/>
    <w:rsid w:val="001E62F0"/>
    <w:rsid w:val="001E7524"/>
    <w:rsid w:val="001F1487"/>
    <w:rsid w:val="001F21EA"/>
    <w:rsid w:val="002012CE"/>
    <w:rsid w:val="002046A2"/>
    <w:rsid w:val="00204BB9"/>
    <w:rsid w:val="0020515D"/>
    <w:rsid w:val="00206BB4"/>
    <w:rsid w:val="00211272"/>
    <w:rsid w:val="00212FB9"/>
    <w:rsid w:val="00213954"/>
    <w:rsid w:val="00214D07"/>
    <w:rsid w:val="00216633"/>
    <w:rsid w:val="00220689"/>
    <w:rsid w:val="00223487"/>
    <w:rsid w:val="002264B2"/>
    <w:rsid w:val="0022762C"/>
    <w:rsid w:val="00227D39"/>
    <w:rsid w:val="0023055A"/>
    <w:rsid w:val="002317EC"/>
    <w:rsid w:val="0023247D"/>
    <w:rsid w:val="0023427B"/>
    <w:rsid w:val="00235A41"/>
    <w:rsid w:val="002370E2"/>
    <w:rsid w:val="002400BD"/>
    <w:rsid w:val="002415A9"/>
    <w:rsid w:val="002423BD"/>
    <w:rsid w:val="00242A8B"/>
    <w:rsid w:val="002448F6"/>
    <w:rsid w:val="002470E7"/>
    <w:rsid w:val="00250A7B"/>
    <w:rsid w:val="002548A8"/>
    <w:rsid w:val="00254CD5"/>
    <w:rsid w:val="00255742"/>
    <w:rsid w:val="00256184"/>
    <w:rsid w:val="00262FF3"/>
    <w:rsid w:val="0026447E"/>
    <w:rsid w:val="00264501"/>
    <w:rsid w:val="002739C4"/>
    <w:rsid w:val="00274BDD"/>
    <w:rsid w:val="002763B4"/>
    <w:rsid w:val="002822E5"/>
    <w:rsid w:val="00286B0D"/>
    <w:rsid w:val="002875AC"/>
    <w:rsid w:val="002934CF"/>
    <w:rsid w:val="002944B4"/>
    <w:rsid w:val="00296705"/>
    <w:rsid w:val="0029696F"/>
    <w:rsid w:val="002A5A49"/>
    <w:rsid w:val="002A5CB5"/>
    <w:rsid w:val="002B08A7"/>
    <w:rsid w:val="002D322E"/>
    <w:rsid w:val="002D3C2D"/>
    <w:rsid w:val="002D488B"/>
    <w:rsid w:val="002E3A05"/>
    <w:rsid w:val="002E4BD3"/>
    <w:rsid w:val="002F2538"/>
    <w:rsid w:val="002F5000"/>
    <w:rsid w:val="002F5DB6"/>
    <w:rsid w:val="002F62C4"/>
    <w:rsid w:val="00301A9F"/>
    <w:rsid w:val="00304714"/>
    <w:rsid w:val="0030634F"/>
    <w:rsid w:val="00310FC9"/>
    <w:rsid w:val="0031167B"/>
    <w:rsid w:val="00312CE2"/>
    <w:rsid w:val="00313732"/>
    <w:rsid w:val="00313E1F"/>
    <w:rsid w:val="003172A3"/>
    <w:rsid w:val="00320F67"/>
    <w:rsid w:val="00321EE1"/>
    <w:rsid w:val="00323FF8"/>
    <w:rsid w:val="003242DF"/>
    <w:rsid w:val="00324DD3"/>
    <w:rsid w:val="00326B23"/>
    <w:rsid w:val="003339E5"/>
    <w:rsid w:val="00336E20"/>
    <w:rsid w:val="00337294"/>
    <w:rsid w:val="00337A2C"/>
    <w:rsid w:val="003403B5"/>
    <w:rsid w:val="00340463"/>
    <w:rsid w:val="00341D88"/>
    <w:rsid w:val="00345F41"/>
    <w:rsid w:val="003463AD"/>
    <w:rsid w:val="003507C9"/>
    <w:rsid w:val="00351A7C"/>
    <w:rsid w:val="00354A9B"/>
    <w:rsid w:val="003572B8"/>
    <w:rsid w:val="0036171E"/>
    <w:rsid w:val="00372486"/>
    <w:rsid w:val="0037305E"/>
    <w:rsid w:val="003749A1"/>
    <w:rsid w:val="003755FB"/>
    <w:rsid w:val="00377C3B"/>
    <w:rsid w:val="00380E72"/>
    <w:rsid w:val="00381876"/>
    <w:rsid w:val="00383296"/>
    <w:rsid w:val="00383885"/>
    <w:rsid w:val="003874B6"/>
    <w:rsid w:val="00391889"/>
    <w:rsid w:val="00392480"/>
    <w:rsid w:val="003934F5"/>
    <w:rsid w:val="003A2ABA"/>
    <w:rsid w:val="003A4376"/>
    <w:rsid w:val="003A7346"/>
    <w:rsid w:val="003A781D"/>
    <w:rsid w:val="003B2853"/>
    <w:rsid w:val="003B6A75"/>
    <w:rsid w:val="003C10B1"/>
    <w:rsid w:val="003C6327"/>
    <w:rsid w:val="003C7655"/>
    <w:rsid w:val="003C7BE7"/>
    <w:rsid w:val="003D2F38"/>
    <w:rsid w:val="003D3822"/>
    <w:rsid w:val="003D4724"/>
    <w:rsid w:val="003D71F2"/>
    <w:rsid w:val="003D7E91"/>
    <w:rsid w:val="003E0838"/>
    <w:rsid w:val="003E14CA"/>
    <w:rsid w:val="003E231B"/>
    <w:rsid w:val="003E44B2"/>
    <w:rsid w:val="003F0C64"/>
    <w:rsid w:val="003F118B"/>
    <w:rsid w:val="003F4368"/>
    <w:rsid w:val="003F5B94"/>
    <w:rsid w:val="004006D7"/>
    <w:rsid w:val="004006EB"/>
    <w:rsid w:val="00401F53"/>
    <w:rsid w:val="0040388A"/>
    <w:rsid w:val="00404F69"/>
    <w:rsid w:val="00407098"/>
    <w:rsid w:val="00410220"/>
    <w:rsid w:val="00410DFE"/>
    <w:rsid w:val="00411E29"/>
    <w:rsid w:val="004131DF"/>
    <w:rsid w:val="00414467"/>
    <w:rsid w:val="00417880"/>
    <w:rsid w:val="00431E79"/>
    <w:rsid w:val="004354D6"/>
    <w:rsid w:val="00443218"/>
    <w:rsid w:val="00443A76"/>
    <w:rsid w:val="00445B0E"/>
    <w:rsid w:val="004466F6"/>
    <w:rsid w:val="00446B2F"/>
    <w:rsid w:val="0045140E"/>
    <w:rsid w:val="0045173C"/>
    <w:rsid w:val="00453532"/>
    <w:rsid w:val="00454E2D"/>
    <w:rsid w:val="004562B7"/>
    <w:rsid w:val="00457731"/>
    <w:rsid w:val="004577AB"/>
    <w:rsid w:val="00460764"/>
    <w:rsid w:val="004622F5"/>
    <w:rsid w:val="00462CF0"/>
    <w:rsid w:val="004663E1"/>
    <w:rsid w:val="00467FC1"/>
    <w:rsid w:val="00470305"/>
    <w:rsid w:val="00471692"/>
    <w:rsid w:val="00472CF0"/>
    <w:rsid w:val="004734B4"/>
    <w:rsid w:val="0047390A"/>
    <w:rsid w:val="00474B66"/>
    <w:rsid w:val="00474EB4"/>
    <w:rsid w:val="00475326"/>
    <w:rsid w:val="00477CFC"/>
    <w:rsid w:val="0048277A"/>
    <w:rsid w:val="004827AF"/>
    <w:rsid w:val="004853C2"/>
    <w:rsid w:val="00485C69"/>
    <w:rsid w:val="00490C22"/>
    <w:rsid w:val="0049142C"/>
    <w:rsid w:val="00491BFF"/>
    <w:rsid w:val="00496A4D"/>
    <w:rsid w:val="004A2BD7"/>
    <w:rsid w:val="004A3075"/>
    <w:rsid w:val="004A6393"/>
    <w:rsid w:val="004B04CF"/>
    <w:rsid w:val="004B1EA1"/>
    <w:rsid w:val="004B4C53"/>
    <w:rsid w:val="004B7CE9"/>
    <w:rsid w:val="004C1745"/>
    <w:rsid w:val="004C1E6E"/>
    <w:rsid w:val="004D4ACB"/>
    <w:rsid w:val="004D4E70"/>
    <w:rsid w:val="004E03BB"/>
    <w:rsid w:val="004E4680"/>
    <w:rsid w:val="004E4925"/>
    <w:rsid w:val="004E4E94"/>
    <w:rsid w:val="004E7290"/>
    <w:rsid w:val="004E7A2F"/>
    <w:rsid w:val="004F13A4"/>
    <w:rsid w:val="004F5BB7"/>
    <w:rsid w:val="004F6755"/>
    <w:rsid w:val="004F7F23"/>
    <w:rsid w:val="00505660"/>
    <w:rsid w:val="0050581E"/>
    <w:rsid w:val="00507C62"/>
    <w:rsid w:val="0051254A"/>
    <w:rsid w:val="00514941"/>
    <w:rsid w:val="0052149A"/>
    <w:rsid w:val="00522FED"/>
    <w:rsid w:val="00524E2B"/>
    <w:rsid w:val="00525554"/>
    <w:rsid w:val="005262B9"/>
    <w:rsid w:val="0052767B"/>
    <w:rsid w:val="0053134C"/>
    <w:rsid w:val="00533092"/>
    <w:rsid w:val="005333FC"/>
    <w:rsid w:val="00533F2B"/>
    <w:rsid w:val="005344EE"/>
    <w:rsid w:val="005409B0"/>
    <w:rsid w:val="0054669D"/>
    <w:rsid w:val="005470A5"/>
    <w:rsid w:val="00551EC2"/>
    <w:rsid w:val="005537B6"/>
    <w:rsid w:val="00554F69"/>
    <w:rsid w:val="0055608A"/>
    <w:rsid w:val="00556F05"/>
    <w:rsid w:val="00557888"/>
    <w:rsid w:val="00561B10"/>
    <w:rsid w:val="00563BE3"/>
    <w:rsid w:val="00563F6B"/>
    <w:rsid w:val="005653FB"/>
    <w:rsid w:val="005668D2"/>
    <w:rsid w:val="00570A9B"/>
    <w:rsid w:val="00576444"/>
    <w:rsid w:val="00577608"/>
    <w:rsid w:val="00577930"/>
    <w:rsid w:val="00577A7C"/>
    <w:rsid w:val="0058746F"/>
    <w:rsid w:val="005A3FE0"/>
    <w:rsid w:val="005B06EF"/>
    <w:rsid w:val="005B2144"/>
    <w:rsid w:val="005B2C6D"/>
    <w:rsid w:val="005B328C"/>
    <w:rsid w:val="005B4E46"/>
    <w:rsid w:val="005B4F75"/>
    <w:rsid w:val="005B7474"/>
    <w:rsid w:val="005B770E"/>
    <w:rsid w:val="005C07E2"/>
    <w:rsid w:val="005C0AFB"/>
    <w:rsid w:val="005C132F"/>
    <w:rsid w:val="005C44C2"/>
    <w:rsid w:val="005C6930"/>
    <w:rsid w:val="005D0AED"/>
    <w:rsid w:val="005D4768"/>
    <w:rsid w:val="005E1197"/>
    <w:rsid w:val="005E4B3B"/>
    <w:rsid w:val="005E5BF8"/>
    <w:rsid w:val="005E7AEB"/>
    <w:rsid w:val="005E7D67"/>
    <w:rsid w:val="005F2ED6"/>
    <w:rsid w:val="005F45BD"/>
    <w:rsid w:val="005F5952"/>
    <w:rsid w:val="005F7BFE"/>
    <w:rsid w:val="00600EB9"/>
    <w:rsid w:val="006012DC"/>
    <w:rsid w:val="00601497"/>
    <w:rsid w:val="00610035"/>
    <w:rsid w:val="0061284F"/>
    <w:rsid w:val="00615E6B"/>
    <w:rsid w:val="00616A04"/>
    <w:rsid w:val="0061778D"/>
    <w:rsid w:val="00620059"/>
    <w:rsid w:val="006204A0"/>
    <w:rsid w:val="00622034"/>
    <w:rsid w:val="006227EA"/>
    <w:rsid w:val="0062313A"/>
    <w:rsid w:val="0062492F"/>
    <w:rsid w:val="00624C0E"/>
    <w:rsid w:val="0062759D"/>
    <w:rsid w:val="006309CD"/>
    <w:rsid w:val="00634804"/>
    <w:rsid w:val="00635679"/>
    <w:rsid w:val="006368D3"/>
    <w:rsid w:val="0063740E"/>
    <w:rsid w:val="00641A31"/>
    <w:rsid w:val="00642564"/>
    <w:rsid w:val="0064311B"/>
    <w:rsid w:val="00643349"/>
    <w:rsid w:val="0064780F"/>
    <w:rsid w:val="006511BB"/>
    <w:rsid w:val="00652D59"/>
    <w:rsid w:val="00652DD3"/>
    <w:rsid w:val="00652F51"/>
    <w:rsid w:val="00653D4A"/>
    <w:rsid w:val="00654CA6"/>
    <w:rsid w:val="00654D82"/>
    <w:rsid w:val="00655397"/>
    <w:rsid w:val="00655633"/>
    <w:rsid w:val="006557EF"/>
    <w:rsid w:val="00655997"/>
    <w:rsid w:val="00655AC9"/>
    <w:rsid w:val="00661C78"/>
    <w:rsid w:val="00662A95"/>
    <w:rsid w:val="00663D48"/>
    <w:rsid w:val="00665222"/>
    <w:rsid w:val="006674FC"/>
    <w:rsid w:val="00670026"/>
    <w:rsid w:val="00672104"/>
    <w:rsid w:val="0067302D"/>
    <w:rsid w:val="00674D99"/>
    <w:rsid w:val="00674DF5"/>
    <w:rsid w:val="00681D60"/>
    <w:rsid w:val="0068651C"/>
    <w:rsid w:val="00690AD1"/>
    <w:rsid w:val="006932D8"/>
    <w:rsid w:val="0069456E"/>
    <w:rsid w:val="006A02F7"/>
    <w:rsid w:val="006A14F7"/>
    <w:rsid w:val="006A5361"/>
    <w:rsid w:val="006B343D"/>
    <w:rsid w:val="006B6935"/>
    <w:rsid w:val="006B731E"/>
    <w:rsid w:val="006C2119"/>
    <w:rsid w:val="006C2FE4"/>
    <w:rsid w:val="006C5487"/>
    <w:rsid w:val="006C7243"/>
    <w:rsid w:val="006D1CFA"/>
    <w:rsid w:val="006D2203"/>
    <w:rsid w:val="006D4310"/>
    <w:rsid w:val="006E16D1"/>
    <w:rsid w:val="006E2F68"/>
    <w:rsid w:val="006E4DAE"/>
    <w:rsid w:val="006E5DC8"/>
    <w:rsid w:val="006F3BF7"/>
    <w:rsid w:val="006F46DF"/>
    <w:rsid w:val="006F64F7"/>
    <w:rsid w:val="006F74FD"/>
    <w:rsid w:val="007063EE"/>
    <w:rsid w:val="007073A1"/>
    <w:rsid w:val="00710F0A"/>
    <w:rsid w:val="00711D6A"/>
    <w:rsid w:val="007162E7"/>
    <w:rsid w:val="007205E8"/>
    <w:rsid w:val="00721131"/>
    <w:rsid w:val="00721488"/>
    <w:rsid w:val="00722A7E"/>
    <w:rsid w:val="00726192"/>
    <w:rsid w:val="00730102"/>
    <w:rsid w:val="00731579"/>
    <w:rsid w:val="007319D0"/>
    <w:rsid w:val="00734E5A"/>
    <w:rsid w:val="00735C65"/>
    <w:rsid w:val="00740368"/>
    <w:rsid w:val="007409F2"/>
    <w:rsid w:val="00742073"/>
    <w:rsid w:val="007438C0"/>
    <w:rsid w:val="00745380"/>
    <w:rsid w:val="007457CE"/>
    <w:rsid w:val="00745A16"/>
    <w:rsid w:val="00746641"/>
    <w:rsid w:val="007541F9"/>
    <w:rsid w:val="00755308"/>
    <w:rsid w:val="00760165"/>
    <w:rsid w:val="007601BF"/>
    <w:rsid w:val="00763B9D"/>
    <w:rsid w:val="0076682C"/>
    <w:rsid w:val="00767592"/>
    <w:rsid w:val="00771BAA"/>
    <w:rsid w:val="00772B0E"/>
    <w:rsid w:val="00773624"/>
    <w:rsid w:val="0077497C"/>
    <w:rsid w:val="00780D21"/>
    <w:rsid w:val="00781056"/>
    <w:rsid w:val="007836BA"/>
    <w:rsid w:val="007839DF"/>
    <w:rsid w:val="00783D57"/>
    <w:rsid w:val="00785CEF"/>
    <w:rsid w:val="00790146"/>
    <w:rsid w:val="00790D30"/>
    <w:rsid w:val="007945A8"/>
    <w:rsid w:val="007968BD"/>
    <w:rsid w:val="00797519"/>
    <w:rsid w:val="007A04E4"/>
    <w:rsid w:val="007A0ABF"/>
    <w:rsid w:val="007A0DC8"/>
    <w:rsid w:val="007A1286"/>
    <w:rsid w:val="007A2CA7"/>
    <w:rsid w:val="007A4F17"/>
    <w:rsid w:val="007B03BC"/>
    <w:rsid w:val="007B0C3E"/>
    <w:rsid w:val="007B22A6"/>
    <w:rsid w:val="007B2471"/>
    <w:rsid w:val="007B2BD4"/>
    <w:rsid w:val="007C195F"/>
    <w:rsid w:val="007C7A14"/>
    <w:rsid w:val="007D109C"/>
    <w:rsid w:val="007D53B1"/>
    <w:rsid w:val="007D6AFA"/>
    <w:rsid w:val="007D7698"/>
    <w:rsid w:val="007E309E"/>
    <w:rsid w:val="007E6264"/>
    <w:rsid w:val="007E7A02"/>
    <w:rsid w:val="007F0304"/>
    <w:rsid w:val="007F26B9"/>
    <w:rsid w:val="007F45A4"/>
    <w:rsid w:val="007F65EF"/>
    <w:rsid w:val="007F6F11"/>
    <w:rsid w:val="0080067C"/>
    <w:rsid w:val="00803129"/>
    <w:rsid w:val="008072F0"/>
    <w:rsid w:val="0081054C"/>
    <w:rsid w:val="008106AA"/>
    <w:rsid w:val="00810E22"/>
    <w:rsid w:val="00812262"/>
    <w:rsid w:val="008145F2"/>
    <w:rsid w:val="00824414"/>
    <w:rsid w:val="008245ED"/>
    <w:rsid w:val="00825F89"/>
    <w:rsid w:val="00827CA9"/>
    <w:rsid w:val="00831B0B"/>
    <w:rsid w:val="00834DBC"/>
    <w:rsid w:val="00836B3C"/>
    <w:rsid w:val="00841A13"/>
    <w:rsid w:val="00841DA8"/>
    <w:rsid w:val="00842F1F"/>
    <w:rsid w:val="00843806"/>
    <w:rsid w:val="00844F0B"/>
    <w:rsid w:val="00853C2D"/>
    <w:rsid w:val="00854DE7"/>
    <w:rsid w:val="00856B3E"/>
    <w:rsid w:val="0086308E"/>
    <w:rsid w:val="00863128"/>
    <w:rsid w:val="00863EE7"/>
    <w:rsid w:val="00864541"/>
    <w:rsid w:val="0086481D"/>
    <w:rsid w:val="00864E41"/>
    <w:rsid w:val="00871B9D"/>
    <w:rsid w:val="00871D82"/>
    <w:rsid w:val="00872B48"/>
    <w:rsid w:val="00875EC1"/>
    <w:rsid w:val="00876561"/>
    <w:rsid w:val="00876C1D"/>
    <w:rsid w:val="008909D4"/>
    <w:rsid w:val="00893016"/>
    <w:rsid w:val="0089575F"/>
    <w:rsid w:val="008A0DF7"/>
    <w:rsid w:val="008A462C"/>
    <w:rsid w:val="008A78DA"/>
    <w:rsid w:val="008A7E19"/>
    <w:rsid w:val="008B0139"/>
    <w:rsid w:val="008B3B3D"/>
    <w:rsid w:val="008C18E3"/>
    <w:rsid w:val="008C1D30"/>
    <w:rsid w:val="008C1F08"/>
    <w:rsid w:val="008C36D2"/>
    <w:rsid w:val="008C4189"/>
    <w:rsid w:val="008C5050"/>
    <w:rsid w:val="008C5839"/>
    <w:rsid w:val="008D1168"/>
    <w:rsid w:val="008D11A8"/>
    <w:rsid w:val="008D2307"/>
    <w:rsid w:val="008D24CB"/>
    <w:rsid w:val="008E1E10"/>
    <w:rsid w:val="008E1E6D"/>
    <w:rsid w:val="008E5CFD"/>
    <w:rsid w:val="008E6095"/>
    <w:rsid w:val="008E79F0"/>
    <w:rsid w:val="008F0076"/>
    <w:rsid w:val="008F2A49"/>
    <w:rsid w:val="008F2EB3"/>
    <w:rsid w:val="008F524E"/>
    <w:rsid w:val="008F59AC"/>
    <w:rsid w:val="008F60C2"/>
    <w:rsid w:val="008F771E"/>
    <w:rsid w:val="009016D1"/>
    <w:rsid w:val="0090297D"/>
    <w:rsid w:val="00902C12"/>
    <w:rsid w:val="00905C19"/>
    <w:rsid w:val="0091357B"/>
    <w:rsid w:val="00914962"/>
    <w:rsid w:val="00915E4A"/>
    <w:rsid w:val="00916161"/>
    <w:rsid w:val="00917E62"/>
    <w:rsid w:val="00922610"/>
    <w:rsid w:val="00922D5F"/>
    <w:rsid w:val="0092563A"/>
    <w:rsid w:val="00925CEA"/>
    <w:rsid w:val="009278D5"/>
    <w:rsid w:val="00930D4A"/>
    <w:rsid w:val="0093260E"/>
    <w:rsid w:val="009326DD"/>
    <w:rsid w:val="00933E39"/>
    <w:rsid w:val="00934281"/>
    <w:rsid w:val="00934CB3"/>
    <w:rsid w:val="00935B81"/>
    <w:rsid w:val="009370D6"/>
    <w:rsid w:val="00941428"/>
    <w:rsid w:val="0094215E"/>
    <w:rsid w:val="00947389"/>
    <w:rsid w:val="00951AF4"/>
    <w:rsid w:val="00954890"/>
    <w:rsid w:val="00955028"/>
    <w:rsid w:val="00955C51"/>
    <w:rsid w:val="00957656"/>
    <w:rsid w:val="00962601"/>
    <w:rsid w:val="0096312A"/>
    <w:rsid w:val="00967502"/>
    <w:rsid w:val="009722DD"/>
    <w:rsid w:val="00972CBB"/>
    <w:rsid w:val="00975BAE"/>
    <w:rsid w:val="00975EE0"/>
    <w:rsid w:val="009763B1"/>
    <w:rsid w:val="009813CD"/>
    <w:rsid w:val="0098157F"/>
    <w:rsid w:val="009824A8"/>
    <w:rsid w:val="00982BE2"/>
    <w:rsid w:val="00984A12"/>
    <w:rsid w:val="00987459"/>
    <w:rsid w:val="00992BEC"/>
    <w:rsid w:val="0099665A"/>
    <w:rsid w:val="0099766B"/>
    <w:rsid w:val="009977CF"/>
    <w:rsid w:val="009A1FD8"/>
    <w:rsid w:val="009A688A"/>
    <w:rsid w:val="009B38F4"/>
    <w:rsid w:val="009B75DD"/>
    <w:rsid w:val="009B7B01"/>
    <w:rsid w:val="009C04ED"/>
    <w:rsid w:val="009C171B"/>
    <w:rsid w:val="009C71B2"/>
    <w:rsid w:val="009C79C0"/>
    <w:rsid w:val="009C7AD3"/>
    <w:rsid w:val="009D1266"/>
    <w:rsid w:val="009D2324"/>
    <w:rsid w:val="009D3E01"/>
    <w:rsid w:val="009D606C"/>
    <w:rsid w:val="009D7A86"/>
    <w:rsid w:val="009D7D49"/>
    <w:rsid w:val="009E2CEE"/>
    <w:rsid w:val="009E3A84"/>
    <w:rsid w:val="009E3DB0"/>
    <w:rsid w:val="009E4D00"/>
    <w:rsid w:val="009F0005"/>
    <w:rsid w:val="009F20D5"/>
    <w:rsid w:val="009F33CD"/>
    <w:rsid w:val="009F582C"/>
    <w:rsid w:val="009F58F8"/>
    <w:rsid w:val="009F7C5E"/>
    <w:rsid w:val="009F7E1E"/>
    <w:rsid w:val="00A007BC"/>
    <w:rsid w:val="00A00B23"/>
    <w:rsid w:val="00A02458"/>
    <w:rsid w:val="00A032AD"/>
    <w:rsid w:val="00A0533B"/>
    <w:rsid w:val="00A05BD0"/>
    <w:rsid w:val="00A163E3"/>
    <w:rsid w:val="00A167D5"/>
    <w:rsid w:val="00A2184E"/>
    <w:rsid w:val="00A23A47"/>
    <w:rsid w:val="00A25AC5"/>
    <w:rsid w:val="00A33C9A"/>
    <w:rsid w:val="00A3460B"/>
    <w:rsid w:val="00A34746"/>
    <w:rsid w:val="00A370D7"/>
    <w:rsid w:val="00A44074"/>
    <w:rsid w:val="00A44660"/>
    <w:rsid w:val="00A453AD"/>
    <w:rsid w:val="00A5146A"/>
    <w:rsid w:val="00A51CE2"/>
    <w:rsid w:val="00A546A5"/>
    <w:rsid w:val="00A547C4"/>
    <w:rsid w:val="00A54B5F"/>
    <w:rsid w:val="00A56329"/>
    <w:rsid w:val="00A57144"/>
    <w:rsid w:val="00A57B3E"/>
    <w:rsid w:val="00A60810"/>
    <w:rsid w:val="00A60944"/>
    <w:rsid w:val="00A6291B"/>
    <w:rsid w:val="00A65AA3"/>
    <w:rsid w:val="00A65C8E"/>
    <w:rsid w:val="00A665C8"/>
    <w:rsid w:val="00A679A9"/>
    <w:rsid w:val="00A70914"/>
    <w:rsid w:val="00A71846"/>
    <w:rsid w:val="00A75495"/>
    <w:rsid w:val="00A76E58"/>
    <w:rsid w:val="00A77010"/>
    <w:rsid w:val="00A8119C"/>
    <w:rsid w:val="00A8264A"/>
    <w:rsid w:val="00A83D72"/>
    <w:rsid w:val="00A843EA"/>
    <w:rsid w:val="00A8455A"/>
    <w:rsid w:val="00A8472C"/>
    <w:rsid w:val="00A84F9A"/>
    <w:rsid w:val="00A90E2F"/>
    <w:rsid w:val="00A923E5"/>
    <w:rsid w:val="00A92FE0"/>
    <w:rsid w:val="00A93FCF"/>
    <w:rsid w:val="00A95F25"/>
    <w:rsid w:val="00A97A6D"/>
    <w:rsid w:val="00A97ADE"/>
    <w:rsid w:val="00AA2456"/>
    <w:rsid w:val="00AA44C3"/>
    <w:rsid w:val="00AA5B7A"/>
    <w:rsid w:val="00AB2369"/>
    <w:rsid w:val="00AB3E6E"/>
    <w:rsid w:val="00AC0578"/>
    <w:rsid w:val="00AC212F"/>
    <w:rsid w:val="00AC3725"/>
    <w:rsid w:val="00AC48D5"/>
    <w:rsid w:val="00AD14C6"/>
    <w:rsid w:val="00AD261F"/>
    <w:rsid w:val="00AD30C3"/>
    <w:rsid w:val="00AD3DA4"/>
    <w:rsid w:val="00AD6DCC"/>
    <w:rsid w:val="00AE1A48"/>
    <w:rsid w:val="00AE29DD"/>
    <w:rsid w:val="00AE383C"/>
    <w:rsid w:val="00AE3B9B"/>
    <w:rsid w:val="00AE6A9B"/>
    <w:rsid w:val="00AE6D67"/>
    <w:rsid w:val="00AE73E2"/>
    <w:rsid w:val="00AF33ED"/>
    <w:rsid w:val="00AF633B"/>
    <w:rsid w:val="00AF7B1A"/>
    <w:rsid w:val="00B02A1C"/>
    <w:rsid w:val="00B04CB0"/>
    <w:rsid w:val="00B0685E"/>
    <w:rsid w:val="00B10A67"/>
    <w:rsid w:val="00B11A1F"/>
    <w:rsid w:val="00B12C7B"/>
    <w:rsid w:val="00B138D7"/>
    <w:rsid w:val="00B14AF1"/>
    <w:rsid w:val="00B17A1D"/>
    <w:rsid w:val="00B23985"/>
    <w:rsid w:val="00B23C08"/>
    <w:rsid w:val="00B25A18"/>
    <w:rsid w:val="00B27278"/>
    <w:rsid w:val="00B3102E"/>
    <w:rsid w:val="00B3208E"/>
    <w:rsid w:val="00B33073"/>
    <w:rsid w:val="00B3328B"/>
    <w:rsid w:val="00B33D37"/>
    <w:rsid w:val="00B35653"/>
    <w:rsid w:val="00B40D4C"/>
    <w:rsid w:val="00B426C0"/>
    <w:rsid w:val="00B427DE"/>
    <w:rsid w:val="00B44521"/>
    <w:rsid w:val="00B44EF9"/>
    <w:rsid w:val="00B4594E"/>
    <w:rsid w:val="00B46870"/>
    <w:rsid w:val="00B4742C"/>
    <w:rsid w:val="00B47A17"/>
    <w:rsid w:val="00B503AB"/>
    <w:rsid w:val="00B52965"/>
    <w:rsid w:val="00B535A6"/>
    <w:rsid w:val="00B54D6E"/>
    <w:rsid w:val="00B551E8"/>
    <w:rsid w:val="00B57E26"/>
    <w:rsid w:val="00B67B6C"/>
    <w:rsid w:val="00B70131"/>
    <w:rsid w:val="00B72E3A"/>
    <w:rsid w:val="00B7509F"/>
    <w:rsid w:val="00B7527B"/>
    <w:rsid w:val="00B8037B"/>
    <w:rsid w:val="00B80C15"/>
    <w:rsid w:val="00B843A6"/>
    <w:rsid w:val="00B85903"/>
    <w:rsid w:val="00B909F0"/>
    <w:rsid w:val="00B96B87"/>
    <w:rsid w:val="00B975B4"/>
    <w:rsid w:val="00BA22C4"/>
    <w:rsid w:val="00BA2A68"/>
    <w:rsid w:val="00BA4F4C"/>
    <w:rsid w:val="00BA6E8A"/>
    <w:rsid w:val="00BB1E0A"/>
    <w:rsid w:val="00BB67B8"/>
    <w:rsid w:val="00BC5ADE"/>
    <w:rsid w:val="00BC6C82"/>
    <w:rsid w:val="00BC6D0A"/>
    <w:rsid w:val="00BD189B"/>
    <w:rsid w:val="00BD2EC5"/>
    <w:rsid w:val="00BD2EE0"/>
    <w:rsid w:val="00BD31D3"/>
    <w:rsid w:val="00BD43FC"/>
    <w:rsid w:val="00BD5E9A"/>
    <w:rsid w:val="00BD68A4"/>
    <w:rsid w:val="00BE051B"/>
    <w:rsid w:val="00BE174B"/>
    <w:rsid w:val="00BE1CD7"/>
    <w:rsid w:val="00BE3CA0"/>
    <w:rsid w:val="00BE58C2"/>
    <w:rsid w:val="00BE7A1B"/>
    <w:rsid w:val="00BF1447"/>
    <w:rsid w:val="00BF4DF8"/>
    <w:rsid w:val="00BF5FB6"/>
    <w:rsid w:val="00C00DA1"/>
    <w:rsid w:val="00C01FE2"/>
    <w:rsid w:val="00C0239A"/>
    <w:rsid w:val="00C05785"/>
    <w:rsid w:val="00C06838"/>
    <w:rsid w:val="00C06A41"/>
    <w:rsid w:val="00C12358"/>
    <w:rsid w:val="00C12982"/>
    <w:rsid w:val="00C13D48"/>
    <w:rsid w:val="00C16267"/>
    <w:rsid w:val="00C21B25"/>
    <w:rsid w:val="00C23928"/>
    <w:rsid w:val="00C2487B"/>
    <w:rsid w:val="00C269E3"/>
    <w:rsid w:val="00C31162"/>
    <w:rsid w:val="00C32A3D"/>
    <w:rsid w:val="00C34178"/>
    <w:rsid w:val="00C34870"/>
    <w:rsid w:val="00C356DC"/>
    <w:rsid w:val="00C36198"/>
    <w:rsid w:val="00C376EE"/>
    <w:rsid w:val="00C406D0"/>
    <w:rsid w:val="00C41581"/>
    <w:rsid w:val="00C41AFC"/>
    <w:rsid w:val="00C5028F"/>
    <w:rsid w:val="00C50DF9"/>
    <w:rsid w:val="00C5145B"/>
    <w:rsid w:val="00C523D5"/>
    <w:rsid w:val="00C54E1D"/>
    <w:rsid w:val="00C556A4"/>
    <w:rsid w:val="00C56351"/>
    <w:rsid w:val="00C61403"/>
    <w:rsid w:val="00C61C5B"/>
    <w:rsid w:val="00C6674A"/>
    <w:rsid w:val="00C70112"/>
    <w:rsid w:val="00C7127D"/>
    <w:rsid w:val="00C72F47"/>
    <w:rsid w:val="00C76123"/>
    <w:rsid w:val="00C7628B"/>
    <w:rsid w:val="00C82AAE"/>
    <w:rsid w:val="00C84231"/>
    <w:rsid w:val="00C864DD"/>
    <w:rsid w:val="00C87C4D"/>
    <w:rsid w:val="00C907C1"/>
    <w:rsid w:val="00C91BF5"/>
    <w:rsid w:val="00C9241B"/>
    <w:rsid w:val="00C92713"/>
    <w:rsid w:val="00C967A0"/>
    <w:rsid w:val="00C97DAC"/>
    <w:rsid w:val="00CA2E09"/>
    <w:rsid w:val="00CA7F12"/>
    <w:rsid w:val="00CB1298"/>
    <w:rsid w:val="00CB16F3"/>
    <w:rsid w:val="00CB246D"/>
    <w:rsid w:val="00CB3C06"/>
    <w:rsid w:val="00CB41C0"/>
    <w:rsid w:val="00CB52CA"/>
    <w:rsid w:val="00CB59E2"/>
    <w:rsid w:val="00CB5D3C"/>
    <w:rsid w:val="00CC4B45"/>
    <w:rsid w:val="00CC4C2C"/>
    <w:rsid w:val="00CD17DE"/>
    <w:rsid w:val="00CD241F"/>
    <w:rsid w:val="00CD31D8"/>
    <w:rsid w:val="00CD6258"/>
    <w:rsid w:val="00CE1A13"/>
    <w:rsid w:val="00CE7C1F"/>
    <w:rsid w:val="00CF0FE5"/>
    <w:rsid w:val="00CF1556"/>
    <w:rsid w:val="00CF59D5"/>
    <w:rsid w:val="00D0144C"/>
    <w:rsid w:val="00D02429"/>
    <w:rsid w:val="00D02808"/>
    <w:rsid w:val="00D10036"/>
    <w:rsid w:val="00D101CC"/>
    <w:rsid w:val="00D11916"/>
    <w:rsid w:val="00D13632"/>
    <w:rsid w:val="00D13693"/>
    <w:rsid w:val="00D16859"/>
    <w:rsid w:val="00D17AB2"/>
    <w:rsid w:val="00D21317"/>
    <w:rsid w:val="00D22D0A"/>
    <w:rsid w:val="00D27284"/>
    <w:rsid w:val="00D30D76"/>
    <w:rsid w:val="00D36309"/>
    <w:rsid w:val="00D410CD"/>
    <w:rsid w:val="00D412DB"/>
    <w:rsid w:val="00D41528"/>
    <w:rsid w:val="00D44B06"/>
    <w:rsid w:val="00D45D65"/>
    <w:rsid w:val="00D46B7B"/>
    <w:rsid w:val="00D46BF3"/>
    <w:rsid w:val="00D47698"/>
    <w:rsid w:val="00D530A1"/>
    <w:rsid w:val="00D61CB2"/>
    <w:rsid w:val="00D64464"/>
    <w:rsid w:val="00D64AA0"/>
    <w:rsid w:val="00D72425"/>
    <w:rsid w:val="00D73F7A"/>
    <w:rsid w:val="00D7521F"/>
    <w:rsid w:val="00D77573"/>
    <w:rsid w:val="00D77A14"/>
    <w:rsid w:val="00D77BF1"/>
    <w:rsid w:val="00D806E3"/>
    <w:rsid w:val="00D8131A"/>
    <w:rsid w:val="00D86B00"/>
    <w:rsid w:val="00D87480"/>
    <w:rsid w:val="00D916BC"/>
    <w:rsid w:val="00D91CDC"/>
    <w:rsid w:val="00D94973"/>
    <w:rsid w:val="00D94DD0"/>
    <w:rsid w:val="00D94FDF"/>
    <w:rsid w:val="00D96996"/>
    <w:rsid w:val="00DA0C21"/>
    <w:rsid w:val="00DA5FD0"/>
    <w:rsid w:val="00DA72DF"/>
    <w:rsid w:val="00DA7C44"/>
    <w:rsid w:val="00DB0551"/>
    <w:rsid w:val="00DB1F06"/>
    <w:rsid w:val="00DB303B"/>
    <w:rsid w:val="00DB4526"/>
    <w:rsid w:val="00DB59B8"/>
    <w:rsid w:val="00DB6A67"/>
    <w:rsid w:val="00DC1EB3"/>
    <w:rsid w:val="00DC2635"/>
    <w:rsid w:val="00DC491D"/>
    <w:rsid w:val="00DD057E"/>
    <w:rsid w:val="00DD2ED2"/>
    <w:rsid w:val="00DD563A"/>
    <w:rsid w:val="00DD6314"/>
    <w:rsid w:val="00DD67ED"/>
    <w:rsid w:val="00DD71AF"/>
    <w:rsid w:val="00DD7316"/>
    <w:rsid w:val="00DE3CF2"/>
    <w:rsid w:val="00DF1329"/>
    <w:rsid w:val="00DF34EA"/>
    <w:rsid w:val="00DF451E"/>
    <w:rsid w:val="00E019F5"/>
    <w:rsid w:val="00E06D0C"/>
    <w:rsid w:val="00E120DD"/>
    <w:rsid w:val="00E14CDB"/>
    <w:rsid w:val="00E157E6"/>
    <w:rsid w:val="00E166B1"/>
    <w:rsid w:val="00E27F06"/>
    <w:rsid w:val="00E3182A"/>
    <w:rsid w:val="00E31E42"/>
    <w:rsid w:val="00E327EC"/>
    <w:rsid w:val="00E35F76"/>
    <w:rsid w:val="00E36450"/>
    <w:rsid w:val="00E37875"/>
    <w:rsid w:val="00E4219B"/>
    <w:rsid w:val="00E42D59"/>
    <w:rsid w:val="00E51593"/>
    <w:rsid w:val="00E51ECC"/>
    <w:rsid w:val="00E5465D"/>
    <w:rsid w:val="00E547C7"/>
    <w:rsid w:val="00E551ED"/>
    <w:rsid w:val="00E555FC"/>
    <w:rsid w:val="00E55929"/>
    <w:rsid w:val="00E56CE1"/>
    <w:rsid w:val="00E57124"/>
    <w:rsid w:val="00E57AA1"/>
    <w:rsid w:val="00E734FD"/>
    <w:rsid w:val="00E738F4"/>
    <w:rsid w:val="00E74F21"/>
    <w:rsid w:val="00E850B0"/>
    <w:rsid w:val="00E90751"/>
    <w:rsid w:val="00E90E35"/>
    <w:rsid w:val="00E921FD"/>
    <w:rsid w:val="00E93D44"/>
    <w:rsid w:val="00EA024C"/>
    <w:rsid w:val="00EA1175"/>
    <w:rsid w:val="00EA1766"/>
    <w:rsid w:val="00EA1B32"/>
    <w:rsid w:val="00EA3048"/>
    <w:rsid w:val="00EB0796"/>
    <w:rsid w:val="00EB084C"/>
    <w:rsid w:val="00EB1C69"/>
    <w:rsid w:val="00EB6259"/>
    <w:rsid w:val="00EB6881"/>
    <w:rsid w:val="00EB7875"/>
    <w:rsid w:val="00EC102D"/>
    <w:rsid w:val="00EC166C"/>
    <w:rsid w:val="00EC1CFA"/>
    <w:rsid w:val="00EC2B5B"/>
    <w:rsid w:val="00EC2E22"/>
    <w:rsid w:val="00EC6F5D"/>
    <w:rsid w:val="00EC769D"/>
    <w:rsid w:val="00EC7D20"/>
    <w:rsid w:val="00ED2A27"/>
    <w:rsid w:val="00ED356C"/>
    <w:rsid w:val="00ED3B83"/>
    <w:rsid w:val="00EE07D7"/>
    <w:rsid w:val="00EE667C"/>
    <w:rsid w:val="00EE7CE9"/>
    <w:rsid w:val="00EF22DC"/>
    <w:rsid w:val="00EF48B0"/>
    <w:rsid w:val="00EF5716"/>
    <w:rsid w:val="00F00F86"/>
    <w:rsid w:val="00F02988"/>
    <w:rsid w:val="00F0315E"/>
    <w:rsid w:val="00F03DFF"/>
    <w:rsid w:val="00F06183"/>
    <w:rsid w:val="00F11A68"/>
    <w:rsid w:val="00F14BB1"/>
    <w:rsid w:val="00F153A5"/>
    <w:rsid w:val="00F163A0"/>
    <w:rsid w:val="00F1698D"/>
    <w:rsid w:val="00F2003B"/>
    <w:rsid w:val="00F224D1"/>
    <w:rsid w:val="00F31815"/>
    <w:rsid w:val="00F320B2"/>
    <w:rsid w:val="00F337D9"/>
    <w:rsid w:val="00F44557"/>
    <w:rsid w:val="00F46A35"/>
    <w:rsid w:val="00F46C72"/>
    <w:rsid w:val="00F51881"/>
    <w:rsid w:val="00F527E2"/>
    <w:rsid w:val="00F5288F"/>
    <w:rsid w:val="00F5703F"/>
    <w:rsid w:val="00F57E4A"/>
    <w:rsid w:val="00F60483"/>
    <w:rsid w:val="00F60FFC"/>
    <w:rsid w:val="00F65A27"/>
    <w:rsid w:val="00F65FD5"/>
    <w:rsid w:val="00F706E1"/>
    <w:rsid w:val="00F71DC6"/>
    <w:rsid w:val="00F721D3"/>
    <w:rsid w:val="00F73A28"/>
    <w:rsid w:val="00F73E2A"/>
    <w:rsid w:val="00F76343"/>
    <w:rsid w:val="00F766C3"/>
    <w:rsid w:val="00F7700C"/>
    <w:rsid w:val="00F81D35"/>
    <w:rsid w:val="00F84DEA"/>
    <w:rsid w:val="00F86CEF"/>
    <w:rsid w:val="00F872F0"/>
    <w:rsid w:val="00F87A11"/>
    <w:rsid w:val="00F954A5"/>
    <w:rsid w:val="00F9769C"/>
    <w:rsid w:val="00F977FF"/>
    <w:rsid w:val="00FA1D7C"/>
    <w:rsid w:val="00FA2312"/>
    <w:rsid w:val="00FA2E9E"/>
    <w:rsid w:val="00FA337E"/>
    <w:rsid w:val="00FA63D4"/>
    <w:rsid w:val="00FA6D70"/>
    <w:rsid w:val="00FB151C"/>
    <w:rsid w:val="00FB4103"/>
    <w:rsid w:val="00FB497E"/>
    <w:rsid w:val="00FB4EFC"/>
    <w:rsid w:val="00FC6981"/>
    <w:rsid w:val="00FD061D"/>
    <w:rsid w:val="00FD1C87"/>
    <w:rsid w:val="00FD30CD"/>
    <w:rsid w:val="00FD7145"/>
    <w:rsid w:val="00FD77B5"/>
    <w:rsid w:val="00FE4DE9"/>
    <w:rsid w:val="00FE796F"/>
    <w:rsid w:val="00FF0933"/>
    <w:rsid w:val="00FF0CF0"/>
    <w:rsid w:val="00FF2B9A"/>
    <w:rsid w:val="00FF30B1"/>
    <w:rsid w:val="00FF76F6"/>
    <w:rsid w:val="0105354A"/>
    <w:rsid w:val="0169235E"/>
    <w:rsid w:val="016E63F6"/>
    <w:rsid w:val="01831C04"/>
    <w:rsid w:val="01831C46"/>
    <w:rsid w:val="01E93561"/>
    <w:rsid w:val="01FD2B3A"/>
    <w:rsid w:val="01FD47AB"/>
    <w:rsid w:val="01FE6141"/>
    <w:rsid w:val="020838AD"/>
    <w:rsid w:val="02100CE3"/>
    <w:rsid w:val="022B4662"/>
    <w:rsid w:val="022C09D5"/>
    <w:rsid w:val="026B5E1C"/>
    <w:rsid w:val="027455C7"/>
    <w:rsid w:val="02813E91"/>
    <w:rsid w:val="0287755B"/>
    <w:rsid w:val="02B46AAE"/>
    <w:rsid w:val="02DC678B"/>
    <w:rsid w:val="031C376B"/>
    <w:rsid w:val="033023FC"/>
    <w:rsid w:val="0347437E"/>
    <w:rsid w:val="035B2C3B"/>
    <w:rsid w:val="036E3F36"/>
    <w:rsid w:val="0391334B"/>
    <w:rsid w:val="0392478C"/>
    <w:rsid w:val="03A20EB7"/>
    <w:rsid w:val="03A53E1F"/>
    <w:rsid w:val="03A55F8D"/>
    <w:rsid w:val="03AD3186"/>
    <w:rsid w:val="03B515F2"/>
    <w:rsid w:val="03C1795E"/>
    <w:rsid w:val="03CC3D2E"/>
    <w:rsid w:val="03E971B5"/>
    <w:rsid w:val="03EA0CF2"/>
    <w:rsid w:val="040D62FF"/>
    <w:rsid w:val="04133B9C"/>
    <w:rsid w:val="043A45BA"/>
    <w:rsid w:val="045C0BD3"/>
    <w:rsid w:val="0463142C"/>
    <w:rsid w:val="046A4F4B"/>
    <w:rsid w:val="04971058"/>
    <w:rsid w:val="04B66403"/>
    <w:rsid w:val="04BA6190"/>
    <w:rsid w:val="04D051CB"/>
    <w:rsid w:val="04E072C3"/>
    <w:rsid w:val="04E74B68"/>
    <w:rsid w:val="04F10F05"/>
    <w:rsid w:val="04F73AE9"/>
    <w:rsid w:val="051373CE"/>
    <w:rsid w:val="053C13DA"/>
    <w:rsid w:val="054866E8"/>
    <w:rsid w:val="054E7F4E"/>
    <w:rsid w:val="0559183C"/>
    <w:rsid w:val="056423E4"/>
    <w:rsid w:val="05695FC2"/>
    <w:rsid w:val="056A6766"/>
    <w:rsid w:val="056D1AFD"/>
    <w:rsid w:val="05745169"/>
    <w:rsid w:val="058F2B36"/>
    <w:rsid w:val="059260AD"/>
    <w:rsid w:val="05955139"/>
    <w:rsid w:val="05963A4D"/>
    <w:rsid w:val="05AB3028"/>
    <w:rsid w:val="05AF589E"/>
    <w:rsid w:val="05CF78A3"/>
    <w:rsid w:val="05D76096"/>
    <w:rsid w:val="05E6345B"/>
    <w:rsid w:val="05EC3D7E"/>
    <w:rsid w:val="061A7B49"/>
    <w:rsid w:val="063471F4"/>
    <w:rsid w:val="066D38BB"/>
    <w:rsid w:val="068036EC"/>
    <w:rsid w:val="0688619C"/>
    <w:rsid w:val="06A24BB9"/>
    <w:rsid w:val="06A75D7B"/>
    <w:rsid w:val="06AB0D94"/>
    <w:rsid w:val="06D771F4"/>
    <w:rsid w:val="06DA13D8"/>
    <w:rsid w:val="06FB1DC1"/>
    <w:rsid w:val="07105166"/>
    <w:rsid w:val="07181C51"/>
    <w:rsid w:val="074917D2"/>
    <w:rsid w:val="079A6EC4"/>
    <w:rsid w:val="079E5EB2"/>
    <w:rsid w:val="07B03242"/>
    <w:rsid w:val="07C84D2D"/>
    <w:rsid w:val="07E943A6"/>
    <w:rsid w:val="080E202D"/>
    <w:rsid w:val="082C1E6A"/>
    <w:rsid w:val="084A33E1"/>
    <w:rsid w:val="087E5A13"/>
    <w:rsid w:val="08941A5A"/>
    <w:rsid w:val="08B12DCF"/>
    <w:rsid w:val="08C43237"/>
    <w:rsid w:val="08DA7088"/>
    <w:rsid w:val="08E16531"/>
    <w:rsid w:val="08E4441B"/>
    <w:rsid w:val="08ED0DA8"/>
    <w:rsid w:val="08F32AEC"/>
    <w:rsid w:val="0948757F"/>
    <w:rsid w:val="094E3EB2"/>
    <w:rsid w:val="0976148A"/>
    <w:rsid w:val="09812852"/>
    <w:rsid w:val="09B6253A"/>
    <w:rsid w:val="09C264F2"/>
    <w:rsid w:val="09CD5EDF"/>
    <w:rsid w:val="0A4040A8"/>
    <w:rsid w:val="0A48673F"/>
    <w:rsid w:val="0A6768EC"/>
    <w:rsid w:val="0A9208FF"/>
    <w:rsid w:val="0AB664D1"/>
    <w:rsid w:val="0ACF0852"/>
    <w:rsid w:val="0AD338C6"/>
    <w:rsid w:val="0AF17D91"/>
    <w:rsid w:val="0B09147A"/>
    <w:rsid w:val="0B0F725D"/>
    <w:rsid w:val="0B144C11"/>
    <w:rsid w:val="0B255141"/>
    <w:rsid w:val="0B5574A0"/>
    <w:rsid w:val="0B6B373A"/>
    <w:rsid w:val="0B6F7CE3"/>
    <w:rsid w:val="0B73551D"/>
    <w:rsid w:val="0B7813EF"/>
    <w:rsid w:val="0B883465"/>
    <w:rsid w:val="0B960529"/>
    <w:rsid w:val="0B981D81"/>
    <w:rsid w:val="0BAA5DAA"/>
    <w:rsid w:val="0BB51419"/>
    <w:rsid w:val="0BC946E6"/>
    <w:rsid w:val="0BD40E5F"/>
    <w:rsid w:val="0BD808F1"/>
    <w:rsid w:val="0BE33571"/>
    <w:rsid w:val="0BEB1C20"/>
    <w:rsid w:val="0BED7220"/>
    <w:rsid w:val="0BFE16F1"/>
    <w:rsid w:val="0C0934AA"/>
    <w:rsid w:val="0C3002E8"/>
    <w:rsid w:val="0C36017D"/>
    <w:rsid w:val="0C410ACA"/>
    <w:rsid w:val="0C415989"/>
    <w:rsid w:val="0C440C1C"/>
    <w:rsid w:val="0C464426"/>
    <w:rsid w:val="0C6B6295"/>
    <w:rsid w:val="0C874A7D"/>
    <w:rsid w:val="0C8A460F"/>
    <w:rsid w:val="0C9260A2"/>
    <w:rsid w:val="0CB133E2"/>
    <w:rsid w:val="0D037C66"/>
    <w:rsid w:val="0D09584B"/>
    <w:rsid w:val="0D0C7AAD"/>
    <w:rsid w:val="0D487B11"/>
    <w:rsid w:val="0D6F1454"/>
    <w:rsid w:val="0D762DDA"/>
    <w:rsid w:val="0D7B1601"/>
    <w:rsid w:val="0D7E107C"/>
    <w:rsid w:val="0D8B3B2C"/>
    <w:rsid w:val="0D8F2532"/>
    <w:rsid w:val="0D983AAF"/>
    <w:rsid w:val="0D9940E4"/>
    <w:rsid w:val="0DF66406"/>
    <w:rsid w:val="0DFA0389"/>
    <w:rsid w:val="0E0705BC"/>
    <w:rsid w:val="0E160428"/>
    <w:rsid w:val="0E16440D"/>
    <w:rsid w:val="0E1A62DE"/>
    <w:rsid w:val="0E275426"/>
    <w:rsid w:val="0E49156C"/>
    <w:rsid w:val="0E863348"/>
    <w:rsid w:val="0E8B2EDD"/>
    <w:rsid w:val="0E985D26"/>
    <w:rsid w:val="0E9D6E6A"/>
    <w:rsid w:val="0EC3493C"/>
    <w:rsid w:val="0EFB7231"/>
    <w:rsid w:val="0F446823"/>
    <w:rsid w:val="0F560187"/>
    <w:rsid w:val="0F723A85"/>
    <w:rsid w:val="0F812BE3"/>
    <w:rsid w:val="0FAB4CD4"/>
    <w:rsid w:val="0FCC7138"/>
    <w:rsid w:val="0FCE0391"/>
    <w:rsid w:val="0FD00FD2"/>
    <w:rsid w:val="10272A49"/>
    <w:rsid w:val="10302936"/>
    <w:rsid w:val="10670300"/>
    <w:rsid w:val="106B4FD5"/>
    <w:rsid w:val="108F04BD"/>
    <w:rsid w:val="10BC1A3F"/>
    <w:rsid w:val="10BD5371"/>
    <w:rsid w:val="11214165"/>
    <w:rsid w:val="113E7F22"/>
    <w:rsid w:val="1150598F"/>
    <w:rsid w:val="1174572B"/>
    <w:rsid w:val="119C44A9"/>
    <w:rsid w:val="11AE17CA"/>
    <w:rsid w:val="11F8018A"/>
    <w:rsid w:val="121619C2"/>
    <w:rsid w:val="122A1E99"/>
    <w:rsid w:val="12357E6D"/>
    <w:rsid w:val="12555BF5"/>
    <w:rsid w:val="12821EE4"/>
    <w:rsid w:val="12853849"/>
    <w:rsid w:val="128A713C"/>
    <w:rsid w:val="12F25D42"/>
    <w:rsid w:val="12F75F8B"/>
    <w:rsid w:val="130C5034"/>
    <w:rsid w:val="130E4278"/>
    <w:rsid w:val="13341CA9"/>
    <w:rsid w:val="13495FFF"/>
    <w:rsid w:val="134A288A"/>
    <w:rsid w:val="13617EAA"/>
    <w:rsid w:val="13755631"/>
    <w:rsid w:val="13A74FA4"/>
    <w:rsid w:val="13BD72B8"/>
    <w:rsid w:val="13C846C5"/>
    <w:rsid w:val="13D57454"/>
    <w:rsid w:val="13E514EA"/>
    <w:rsid w:val="13F1376A"/>
    <w:rsid w:val="13FB48D0"/>
    <w:rsid w:val="14080DD1"/>
    <w:rsid w:val="140C5232"/>
    <w:rsid w:val="14416AC8"/>
    <w:rsid w:val="147B6858"/>
    <w:rsid w:val="147C0AAD"/>
    <w:rsid w:val="14901930"/>
    <w:rsid w:val="14C11B47"/>
    <w:rsid w:val="14CE28C3"/>
    <w:rsid w:val="15160895"/>
    <w:rsid w:val="151756D2"/>
    <w:rsid w:val="1552339C"/>
    <w:rsid w:val="15912B0E"/>
    <w:rsid w:val="15A6288B"/>
    <w:rsid w:val="15A9053C"/>
    <w:rsid w:val="15C36B25"/>
    <w:rsid w:val="15D758CB"/>
    <w:rsid w:val="15DF6EC8"/>
    <w:rsid w:val="161150F8"/>
    <w:rsid w:val="16127E9D"/>
    <w:rsid w:val="16203D03"/>
    <w:rsid w:val="16266176"/>
    <w:rsid w:val="163A7D2F"/>
    <w:rsid w:val="166D79B1"/>
    <w:rsid w:val="16A70286"/>
    <w:rsid w:val="16B32FCF"/>
    <w:rsid w:val="16B529ED"/>
    <w:rsid w:val="16C30D8A"/>
    <w:rsid w:val="16FC6498"/>
    <w:rsid w:val="170D6FD7"/>
    <w:rsid w:val="171F61B3"/>
    <w:rsid w:val="172103E6"/>
    <w:rsid w:val="176E641D"/>
    <w:rsid w:val="17B071D6"/>
    <w:rsid w:val="17D41ED1"/>
    <w:rsid w:val="17ED4D90"/>
    <w:rsid w:val="182307AA"/>
    <w:rsid w:val="183056DE"/>
    <w:rsid w:val="185F36C7"/>
    <w:rsid w:val="187A7A1C"/>
    <w:rsid w:val="18D01183"/>
    <w:rsid w:val="192012A0"/>
    <w:rsid w:val="192B2B22"/>
    <w:rsid w:val="19322C1A"/>
    <w:rsid w:val="1951181E"/>
    <w:rsid w:val="198E75A3"/>
    <w:rsid w:val="19A74D3C"/>
    <w:rsid w:val="19AD73C8"/>
    <w:rsid w:val="19B03AFE"/>
    <w:rsid w:val="19B72999"/>
    <w:rsid w:val="19D2691F"/>
    <w:rsid w:val="19E16426"/>
    <w:rsid w:val="19F17B6D"/>
    <w:rsid w:val="1A0F30F1"/>
    <w:rsid w:val="1A5A5DED"/>
    <w:rsid w:val="1A67629F"/>
    <w:rsid w:val="1A874640"/>
    <w:rsid w:val="1A954FBF"/>
    <w:rsid w:val="1A985A43"/>
    <w:rsid w:val="1AB5222C"/>
    <w:rsid w:val="1ADE75C3"/>
    <w:rsid w:val="1AF97E80"/>
    <w:rsid w:val="1B052BF6"/>
    <w:rsid w:val="1B0F3968"/>
    <w:rsid w:val="1B21261F"/>
    <w:rsid w:val="1B2274C1"/>
    <w:rsid w:val="1B2F0E70"/>
    <w:rsid w:val="1B4E4B34"/>
    <w:rsid w:val="1B83393F"/>
    <w:rsid w:val="1B915C39"/>
    <w:rsid w:val="1BA561A2"/>
    <w:rsid w:val="1BD4480A"/>
    <w:rsid w:val="1BD84F16"/>
    <w:rsid w:val="1BDB2A47"/>
    <w:rsid w:val="1BF625D0"/>
    <w:rsid w:val="1BFA21DB"/>
    <w:rsid w:val="1C076E5E"/>
    <w:rsid w:val="1C1F727E"/>
    <w:rsid w:val="1C205827"/>
    <w:rsid w:val="1C6366DF"/>
    <w:rsid w:val="1C676F93"/>
    <w:rsid w:val="1C773D0D"/>
    <w:rsid w:val="1C8F181A"/>
    <w:rsid w:val="1CAA3DC9"/>
    <w:rsid w:val="1CED6FE2"/>
    <w:rsid w:val="1D1B2875"/>
    <w:rsid w:val="1D285C11"/>
    <w:rsid w:val="1D3451CB"/>
    <w:rsid w:val="1D5D6F1E"/>
    <w:rsid w:val="1D6035BD"/>
    <w:rsid w:val="1D77419F"/>
    <w:rsid w:val="1D930CB0"/>
    <w:rsid w:val="1D993557"/>
    <w:rsid w:val="1E12539D"/>
    <w:rsid w:val="1E486DF5"/>
    <w:rsid w:val="1E4E44A6"/>
    <w:rsid w:val="1E4E5BDB"/>
    <w:rsid w:val="1EA47DE8"/>
    <w:rsid w:val="1EC21DA9"/>
    <w:rsid w:val="1EDF6D85"/>
    <w:rsid w:val="1F320F11"/>
    <w:rsid w:val="1F357681"/>
    <w:rsid w:val="1F380983"/>
    <w:rsid w:val="1F440BF7"/>
    <w:rsid w:val="1F4F319D"/>
    <w:rsid w:val="1F5073E3"/>
    <w:rsid w:val="1F8526ED"/>
    <w:rsid w:val="1F8D04A8"/>
    <w:rsid w:val="1F967B38"/>
    <w:rsid w:val="1F9C0960"/>
    <w:rsid w:val="1FC163E7"/>
    <w:rsid w:val="1FC21BCF"/>
    <w:rsid w:val="1FE473D1"/>
    <w:rsid w:val="1FF12E02"/>
    <w:rsid w:val="200C2B21"/>
    <w:rsid w:val="20177CBC"/>
    <w:rsid w:val="203B6856"/>
    <w:rsid w:val="203D2E5F"/>
    <w:rsid w:val="205722C9"/>
    <w:rsid w:val="205B7F9A"/>
    <w:rsid w:val="206C0AB8"/>
    <w:rsid w:val="207C1A49"/>
    <w:rsid w:val="2085112E"/>
    <w:rsid w:val="2087205F"/>
    <w:rsid w:val="208A5030"/>
    <w:rsid w:val="20B834A0"/>
    <w:rsid w:val="20B91984"/>
    <w:rsid w:val="20C76C97"/>
    <w:rsid w:val="20D475CA"/>
    <w:rsid w:val="20DA1403"/>
    <w:rsid w:val="210C3EB7"/>
    <w:rsid w:val="210F5092"/>
    <w:rsid w:val="211D1D21"/>
    <w:rsid w:val="211D5C25"/>
    <w:rsid w:val="21231C00"/>
    <w:rsid w:val="21234D2C"/>
    <w:rsid w:val="2132777E"/>
    <w:rsid w:val="213830AC"/>
    <w:rsid w:val="21472B1E"/>
    <w:rsid w:val="21516CAE"/>
    <w:rsid w:val="21567D6E"/>
    <w:rsid w:val="217A0937"/>
    <w:rsid w:val="218634F9"/>
    <w:rsid w:val="21A53DE3"/>
    <w:rsid w:val="21AE607B"/>
    <w:rsid w:val="21C7023B"/>
    <w:rsid w:val="21CA603A"/>
    <w:rsid w:val="21CE35BD"/>
    <w:rsid w:val="21E208B6"/>
    <w:rsid w:val="21ED372A"/>
    <w:rsid w:val="21F401C7"/>
    <w:rsid w:val="223E6AAB"/>
    <w:rsid w:val="22551214"/>
    <w:rsid w:val="225F7CD0"/>
    <w:rsid w:val="226322CD"/>
    <w:rsid w:val="22654D1B"/>
    <w:rsid w:val="22701330"/>
    <w:rsid w:val="227B1B4A"/>
    <w:rsid w:val="22CA008B"/>
    <w:rsid w:val="22E23216"/>
    <w:rsid w:val="23222B32"/>
    <w:rsid w:val="23245A29"/>
    <w:rsid w:val="232D4303"/>
    <w:rsid w:val="23443F8C"/>
    <w:rsid w:val="23731502"/>
    <w:rsid w:val="23A26F8D"/>
    <w:rsid w:val="23B417A3"/>
    <w:rsid w:val="23C76E16"/>
    <w:rsid w:val="23D60B7A"/>
    <w:rsid w:val="23D7429E"/>
    <w:rsid w:val="23D9209B"/>
    <w:rsid w:val="23D9212A"/>
    <w:rsid w:val="23E23982"/>
    <w:rsid w:val="23EC492F"/>
    <w:rsid w:val="23F74958"/>
    <w:rsid w:val="24155C53"/>
    <w:rsid w:val="24474819"/>
    <w:rsid w:val="2463284F"/>
    <w:rsid w:val="24674A9A"/>
    <w:rsid w:val="24866557"/>
    <w:rsid w:val="24A9487A"/>
    <w:rsid w:val="24E03648"/>
    <w:rsid w:val="24F24325"/>
    <w:rsid w:val="24FA5545"/>
    <w:rsid w:val="250D43B5"/>
    <w:rsid w:val="251726F6"/>
    <w:rsid w:val="2522524E"/>
    <w:rsid w:val="252B0FE7"/>
    <w:rsid w:val="2542650D"/>
    <w:rsid w:val="255557CE"/>
    <w:rsid w:val="255B3FF1"/>
    <w:rsid w:val="259B3DDA"/>
    <w:rsid w:val="25B03974"/>
    <w:rsid w:val="25C15FF6"/>
    <w:rsid w:val="25DE3DBB"/>
    <w:rsid w:val="26015200"/>
    <w:rsid w:val="260D28B7"/>
    <w:rsid w:val="26172C9B"/>
    <w:rsid w:val="262F0E2A"/>
    <w:rsid w:val="263469B4"/>
    <w:rsid w:val="26365DE7"/>
    <w:rsid w:val="268609B1"/>
    <w:rsid w:val="26A30EAA"/>
    <w:rsid w:val="26A5440C"/>
    <w:rsid w:val="26B03CA6"/>
    <w:rsid w:val="26B331F5"/>
    <w:rsid w:val="26B622A1"/>
    <w:rsid w:val="2729612D"/>
    <w:rsid w:val="273B5869"/>
    <w:rsid w:val="274E1D92"/>
    <w:rsid w:val="275402B5"/>
    <w:rsid w:val="276E0826"/>
    <w:rsid w:val="277933EE"/>
    <w:rsid w:val="27934EA9"/>
    <w:rsid w:val="27A82008"/>
    <w:rsid w:val="27AB5272"/>
    <w:rsid w:val="27AF6F5F"/>
    <w:rsid w:val="27D012BA"/>
    <w:rsid w:val="27E873C8"/>
    <w:rsid w:val="28095C55"/>
    <w:rsid w:val="28573F8E"/>
    <w:rsid w:val="28795BE0"/>
    <w:rsid w:val="28805546"/>
    <w:rsid w:val="28881EAA"/>
    <w:rsid w:val="289A2E3B"/>
    <w:rsid w:val="28B20FDC"/>
    <w:rsid w:val="28BA6270"/>
    <w:rsid w:val="28D76A31"/>
    <w:rsid w:val="28FD2959"/>
    <w:rsid w:val="29101BA5"/>
    <w:rsid w:val="29183AB9"/>
    <w:rsid w:val="293C27B8"/>
    <w:rsid w:val="29457948"/>
    <w:rsid w:val="29502454"/>
    <w:rsid w:val="298C63FD"/>
    <w:rsid w:val="29BE0B34"/>
    <w:rsid w:val="29C31302"/>
    <w:rsid w:val="29ED044F"/>
    <w:rsid w:val="2A16112D"/>
    <w:rsid w:val="2A2C5659"/>
    <w:rsid w:val="2A2D31C9"/>
    <w:rsid w:val="2A5448B2"/>
    <w:rsid w:val="2A752C80"/>
    <w:rsid w:val="2A9110DD"/>
    <w:rsid w:val="2AAC12ED"/>
    <w:rsid w:val="2AB91AE2"/>
    <w:rsid w:val="2ACA1D4D"/>
    <w:rsid w:val="2AD25751"/>
    <w:rsid w:val="2AFE6274"/>
    <w:rsid w:val="2B261620"/>
    <w:rsid w:val="2B285189"/>
    <w:rsid w:val="2B291A46"/>
    <w:rsid w:val="2B2930E3"/>
    <w:rsid w:val="2B31086C"/>
    <w:rsid w:val="2B40137B"/>
    <w:rsid w:val="2B5A65B1"/>
    <w:rsid w:val="2B631967"/>
    <w:rsid w:val="2B916C9C"/>
    <w:rsid w:val="2BA72E2B"/>
    <w:rsid w:val="2BA9183C"/>
    <w:rsid w:val="2BE10575"/>
    <w:rsid w:val="2BEF5E4C"/>
    <w:rsid w:val="2C0E68C4"/>
    <w:rsid w:val="2C1323EB"/>
    <w:rsid w:val="2C1C6592"/>
    <w:rsid w:val="2C833573"/>
    <w:rsid w:val="2C86100D"/>
    <w:rsid w:val="2C91021D"/>
    <w:rsid w:val="2CB814DA"/>
    <w:rsid w:val="2CDD368F"/>
    <w:rsid w:val="2CEE1895"/>
    <w:rsid w:val="2D127C35"/>
    <w:rsid w:val="2D4010AF"/>
    <w:rsid w:val="2D5E7551"/>
    <w:rsid w:val="2D702FF6"/>
    <w:rsid w:val="2D8E797F"/>
    <w:rsid w:val="2D8F6FEC"/>
    <w:rsid w:val="2DED699B"/>
    <w:rsid w:val="2E0D6A9C"/>
    <w:rsid w:val="2E1E7D0F"/>
    <w:rsid w:val="2E2B586D"/>
    <w:rsid w:val="2E4400FC"/>
    <w:rsid w:val="2E457ADA"/>
    <w:rsid w:val="2E9772D5"/>
    <w:rsid w:val="2ED51158"/>
    <w:rsid w:val="2ED628C5"/>
    <w:rsid w:val="2EE01C2E"/>
    <w:rsid w:val="2EF63482"/>
    <w:rsid w:val="2F0253F9"/>
    <w:rsid w:val="2F0422C8"/>
    <w:rsid w:val="2F5527F4"/>
    <w:rsid w:val="2F620F4B"/>
    <w:rsid w:val="2F726B1A"/>
    <w:rsid w:val="2F7969AE"/>
    <w:rsid w:val="2FC23A75"/>
    <w:rsid w:val="2FD82D96"/>
    <w:rsid w:val="30054EE0"/>
    <w:rsid w:val="30132FF2"/>
    <w:rsid w:val="301D2F86"/>
    <w:rsid w:val="3051036D"/>
    <w:rsid w:val="306F33EE"/>
    <w:rsid w:val="30740749"/>
    <w:rsid w:val="308F2AA7"/>
    <w:rsid w:val="30C31C06"/>
    <w:rsid w:val="30E7502E"/>
    <w:rsid w:val="30EE04DC"/>
    <w:rsid w:val="312A7A59"/>
    <w:rsid w:val="313C7741"/>
    <w:rsid w:val="314609E3"/>
    <w:rsid w:val="31540AE2"/>
    <w:rsid w:val="31661798"/>
    <w:rsid w:val="3168304C"/>
    <w:rsid w:val="31923447"/>
    <w:rsid w:val="31B411B8"/>
    <w:rsid w:val="31C96A6E"/>
    <w:rsid w:val="32210917"/>
    <w:rsid w:val="32321B18"/>
    <w:rsid w:val="32710D46"/>
    <w:rsid w:val="3284401D"/>
    <w:rsid w:val="32883116"/>
    <w:rsid w:val="32A04047"/>
    <w:rsid w:val="32A103ED"/>
    <w:rsid w:val="32D51A98"/>
    <w:rsid w:val="32EB208E"/>
    <w:rsid w:val="32F92262"/>
    <w:rsid w:val="32FA7AC1"/>
    <w:rsid w:val="330A556D"/>
    <w:rsid w:val="331C5FCB"/>
    <w:rsid w:val="333C6A4B"/>
    <w:rsid w:val="3358013D"/>
    <w:rsid w:val="336B28E4"/>
    <w:rsid w:val="33B03337"/>
    <w:rsid w:val="33B40398"/>
    <w:rsid w:val="33B418DA"/>
    <w:rsid w:val="33F55B4C"/>
    <w:rsid w:val="34306DF7"/>
    <w:rsid w:val="34595FBB"/>
    <w:rsid w:val="348B0E20"/>
    <w:rsid w:val="34E31B36"/>
    <w:rsid w:val="34EF0F6C"/>
    <w:rsid w:val="34F30A9B"/>
    <w:rsid w:val="35364B69"/>
    <w:rsid w:val="35496052"/>
    <w:rsid w:val="35502345"/>
    <w:rsid w:val="35520B34"/>
    <w:rsid w:val="356354BA"/>
    <w:rsid w:val="35697985"/>
    <w:rsid w:val="35A50EB8"/>
    <w:rsid w:val="35A91149"/>
    <w:rsid w:val="35B52504"/>
    <w:rsid w:val="35D67875"/>
    <w:rsid w:val="36024FE4"/>
    <w:rsid w:val="360D6ADC"/>
    <w:rsid w:val="36247005"/>
    <w:rsid w:val="362952B0"/>
    <w:rsid w:val="36312291"/>
    <w:rsid w:val="3659063D"/>
    <w:rsid w:val="36592B9B"/>
    <w:rsid w:val="3667459A"/>
    <w:rsid w:val="366A5D06"/>
    <w:rsid w:val="366C00C6"/>
    <w:rsid w:val="36744FF5"/>
    <w:rsid w:val="36836CD8"/>
    <w:rsid w:val="36860E87"/>
    <w:rsid w:val="36894F42"/>
    <w:rsid w:val="36AA7439"/>
    <w:rsid w:val="36B67E49"/>
    <w:rsid w:val="36B96C54"/>
    <w:rsid w:val="36D940E5"/>
    <w:rsid w:val="36E91972"/>
    <w:rsid w:val="37310050"/>
    <w:rsid w:val="37511F02"/>
    <w:rsid w:val="376807B7"/>
    <w:rsid w:val="37AA789B"/>
    <w:rsid w:val="37C4606C"/>
    <w:rsid w:val="37C627EB"/>
    <w:rsid w:val="37CA21FC"/>
    <w:rsid w:val="37DF7B99"/>
    <w:rsid w:val="38010181"/>
    <w:rsid w:val="38010AFB"/>
    <w:rsid w:val="3810089A"/>
    <w:rsid w:val="381F5A2A"/>
    <w:rsid w:val="38386015"/>
    <w:rsid w:val="386A75A2"/>
    <w:rsid w:val="389067BE"/>
    <w:rsid w:val="38991996"/>
    <w:rsid w:val="38ED593E"/>
    <w:rsid w:val="38FF72C8"/>
    <w:rsid w:val="390239A3"/>
    <w:rsid w:val="39093DEC"/>
    <w:rsid w:val="393365BC"/>
    <w:rsid w:val="397319DB"/>
    <w:rsid w:val="397E125F"/>
    <w:rsid w:val="398A7ACE"/>
    <w:rsid w:val="39AE268B"/>
    <w:rsid w:val="39B0301B"/>
    <w:rsid w:val="39CC4256"/>
    <w:rsid w:val="39E6064C"/>
    <w:rsid w:val="39ED1284"/>
    <w:rsid w:val="39F40770"/>
    <w:rsid w:val="39FA0D9D"/>
    <w:rsid w:val="39FB777B"/>
    <w:rsid w:val="3A086261"/>
    <w:rsid w:val="3A2667DA"/>
    <w:rsid w:val="3A3432E6"/>
    <w:rsid w:val="3A5545D3"/>
    <w:rsid w:val="3A5C0050"/>
    <w:rsid w:val="3A5E1FD6"/>
    <w:rsid w:val="3A636C52"/>
    <w:rsid w:val="3A9B2785"/>
    <w:rsid w:val="3AA556A4"/>
    <w:rsid w:val="3AC24284"/>
    <w:rsid w:val="3AC24320"/>
    <w:rsid w:val="3AFD45C0"/>
    <w:rsid w:val="3B0B6D5B"/>
    <w:rsid w:val="3B17688F"/>
    <w:rsid w:val="3B22234E"/>
    <w:rsid w:val="3B3F4B51"/>
    <w:rsid w:val="3B426019"/>
    <w:rsid w:val="3B661D17"/>
    <w:rsid w:val="3B802F25"/>
    <w:rsid w:val="3B870A73"/>
    <w:rsid w:val="3B8F2815"/>
    <w:rsid w:val="3B8F6284"/>
    <w:rsid w:val="3B9C525C"/>
    <w:rsid w:val="3BCF38C3"/>
    <w:rsid w:val="3C0411E8"/>
    <w:rsid w:val="3C327A1C"/>
    <w:rsid w:val="3C3B350F"/>
    <w:rsid w:val="3C4E494E"/>
    <w:rsid w:val="3C5915C0"/>
    <w:rsid w:val="3C685310"/>
    <w:rsid w:val="3C6C265E"/>
    <w:rsid w:val="3CA46615"/>
    <w:rsid w:val="3CAD086C"/>
    <w:rsid w:val="3CB34782"/>
    <w:rsid w:val="3CB472C4"/>
    <w:rsid w:val="3CCF18DD"/>
    <w:rsid w:val="3CF42B76"/>
    <w:rsid w:val="3D0B4A3E"/>
    <w:rsid w:val="3D163061"/>
    <w:rsid w:val="3D5B1B53"/>
    <w:rsid w:val="3D5F3FC4"/>
    <w:rsid w:val="3D683DF1"/>
    <w:rsid w:val="3D796C6A"/>
    <w:rsid w:val="3DA64141"/>
    <w:rsid w:val="3DCC75E9"/>
    <w:rsid w:val="3DCF012D"/>
    <w:rsid w:val="3DE01806"/>
    <w:rsid w:val="3DE5085B"/>
    <w:rsid w:val="3DE93C9F"/>
    <w:rsid w:val="3DED4732"/>
    <w:rsid w:val="3E065B04"/>
    <w:rsid w:val="3E1C6D45"/>
    <w:rsid w:val="3E8D2A88"/>
    <w:rsid w:val="3E943185"/>
    <w:rsid w:val="3EC11B8B"/>
    <w:rsid w:val="3EE87391"/>
    <w:rsid w:val="3F030CAE"/>
    <w:rsid w:val="3F221DCA"/>
    <w:rsid w:val="3F4370E7"/>
    <w:rsid w:val="3F90388F"/>
    <w:rsid w:val="3FAA001B"/>
    <w:rsid w:val="3FB72DC6"/>
    <w:rsid w:val="3FCC26F3"/>
    <w:rsid w:val="400A1FB7"/>
    <w:rsid w:val="40205EF4"/>
    <w:rsid w:val="40207C1B"/>
    <w:rsid w:val="40264749"/>
    <w:rsid w:val="402A225A"/>
    <w:rsid w:val="40497A7C"/>
    <w:rsid w:val="40554667"/>
    <w:rsid w:val="4063604F"/>
    <w:rsid w:val="408F0A16"/>
    <w:rsid w:val="40901A1A"/>
    <w:rsid w:val="40A81203"/>
    <w:rsid w:val="40D332DC"/>
    <w:rsid w:val="40E576BC"/>
    <w:rsid w:val="4107478E"/>
    <w:rsid w:val="4139188B"/>
    <w:rsid w:val="41663C95"/>
    <w:rsid w:val="418F2F24"/>
    <w:rsid w:val="41922133"/>
    <w:rsid w:val="4197496E"/>
    <w:rsid w:val="419E0369"/>
    <w:rsid w:val="41A415F3"/>
    <w:rsid w:val="41B1187E"/>
    <w:rsid w:val="41B60CA0"/>
    <w:rsid w:val="41CA6DC4"/>
    <w:rsid w:val="41CC1CBB"/>
    <w:rsid w:val="41F21B04"/>
    <w:rsid w:val="4208785F"/>
    <w:rsid w:val="420D4783"/>
    <w:rsid w:val="42264782"/>
    <w:rsid w:val="42385C88"/>
    <w:rsid w:val="42417C0D"/>
    <w:rsid w:val="424B3CDF"/>
    <w:rsid w:val="42856B6B"/>
    <w:rsid w:val="42911BBE"/>
    <w:rsid w:val="42CF5004"/>
    <w:rsid w:val="42D2506A"/>
    <w:rsid w:val="42EA1C1A"/>
    <w:rsid w:val="431248B8"/>
    <w:rsid w:val="431D5E19"/>
    <w:rsid w:val="43223A98"/>
    <w:rsid w:val="43274445"/>
    <w:rsid w:val="432B178F"/>
    <w:rsid w:val="434911BC"/>
    <w:rsid w:val="436C6709"/>
    <w:rsid w:val="4388362C"/>
    <w:rsid w:val="43AB471C"/>
    <w:rsid w:val="43B079AF"/>
    <w:rsid w:val="43DC4AAC"/>
    <w:rsid w:val="43F230FB"/>
    <w:rsid w:val="44027D14"/>
    <w:rsid w:val="44060D0F"/>
    <w:rsid w:val="442536D7"/>
    <w:rsid w:val="442544D5"/>
    <w:rsid w:val="44611092"/>
    <w:rsid w:val="44682559"/>
    <w:rsid w:val="4472103A"/>
    <w:rsid w:val="44A16AC5"/>
    <w:rsid w:val="44BD7D3F"/>
    <w:rsid w:val="44C65553"/>
    <w:rsid w:val="44D91A3A"/>
    <w:rsid w:val="45510ACF"/>
    <w:rsid w:val="45563879"/>
    <w:rsid w:val="455F58C9"/>
    <w:rsid w:val="4568648D"/>
    <w:rsid w:val="456B1D47"/>
    <w:rsid w:val="456F2C0A"/>
    <w:rsid w:val="458864B6"/>
    <w:rsid w:val="459F2E73"/>
    <w:rsid w:val="45A21F99"/>
    <w:rsid w:val="45AA64FA"/>
    <w:rsid w:val="45C92CB6"/>
    <w:rsid w:val="46055962"/>
    <w:rsid w:val="46195CC9"/>
    <w:rsid w:val="462205C0"/>
    <w:rsid w:val="46367CD9"/>
    <w:rsid w:val="464510D3"/>
    <w:rsid w:val="46703962"/>
    <w:rsid w:val="46B96DBE"/>
    <w:rsid w:val="46BC584C"/>
    <w:rsid w:val="46C90F80"/>
    <w:rsid w:val="46E336B1"/>
    <w:rsid w:val="47047FD3"/>
    <w:rsid w:val="4711486D"/>
    <w:rsid w:val="474E24EE"/>
    <w:rsid w:val="4752735E"/>
    <w:rsid w:val="475669F1"/>
    <w:rsid w:val="4771003A"/>
    <w:rsid w:val="478041A9"/>
    <w:rsid w:val="47981C70"/>
    <w:rsid w:val="47A10059"/>
    <w:rsid w:val="47B7284B"/>
    <w:rsid w:val="47C21858"/>
    <w:rsid w:val="47C56B84"/>
    <w:rsid w:val="47D465FA"/>
    <w:rsid w:val="47E5532D"/>
    <w:rsid w:val="47ED23E6"/>
    <w:rsid w:val="47F26129"/>
    <w:rsid w:val="47F84572"/>
    <w:rsid w:val="48050B5D"/>
    <w:rsid w:val="483316AA"/>
    <w:rsid w:val="48335C4E"/>
    <w:rsid w:val="485E7C3B"/>
    <w:rsid w:val="486840E7"/>
    <w:rsid w:val="487B7344"/>
    <w:rsid w:val="48811135"/>
    <w:rsid w:val="48863F46"/>
    <w:rsid w:val="48A20F39"/>
    <w:rsid w:val="48B12FC3"/>
    <w:rsid w:val="48B6251D"/>
    <w:rsid w:val="48BB29AF"/>
    <w:rsid w:val="48D42053"/>
    <w:rsid w:val="48E3500F"/>
    <w:rsid w:val="48EE7528"/>
    <w:rsid w:val="48F052B7"/>
    <w:rsid w:val="48F229C0"/>
    <w:rsid w:val="49083DFA"/>
    <w:rsid w:val="493D3A47"/>
    <w:rsid w:val="4944386F"/>
    <w:rsid w:val="49485BF4"/>
    <w:rsid w:val="49AD7F2D"/>
    <w:rsid w:val="49B270C0"/>
    <w:rsid w:val="49C94079"/>
    <w:rsid w:val="49D61157"/>
    <w:rsid w:val="49FF5992"/>
    <w:rsid w:val="4A1A056A"/>
    <w:rsid w:val="4A557B3F"/>
    <w:rsid w:val="4A784376"/>
    <w:rsid w:val="4A8F7895"/>
    <w:rsid w:val="4A96629B"/>
    <w:rsid w:val="4AA56A9E"/>
    <w:rsid w:val="4AC46848"/>
    <w:rsid w:val="4ACF3E0E"/>
    <w:rsid w:val="4AE555BA"/>
    <w:rsid w:val="4B1818BE"/>
    <w:rsid w:val="4B9832D2"/>
    <w:rsid w:val="4BAB53D9"/>
    <w:rsid w:val="4C083B03"/>
    <w:rsid w:val="4C4705D7"/>
    <w:rsid w:val="4C552E1B"/>
    <w:rsid w:val="4C590AE8"/>
    <w:rsid w:val="4C7D6421"/>
    <w:rsid w:val="4C805451"/>
    <w:rsid w:val="4C852C28"/>
    <w:rsid w:val="4CA205F4"/>
    <w:rsid w:val="4CD5646D"/>
    <w:rsid w:val="4CDE4341"/>
    <w:rsid w:val="4D0061EC"/>
    <w:rsid w:val="4D02597B"/>
    <w:rsid w:val="4D37660D"/>
    <w:rsid w:val="4D610BAE"/>
    <w:rsid w:val="4D6E5086"/>
    <w:rsid w:val="4D745E7C"/>
    <w:rsid w:val="4D840168"/>
    <w:rsid w:val="4D951A6B"/>
    <w:rsid w:val="4DA94FDD"/>
    <w:rsid w:val="4DB96A4D"/>
    <w:rsid w:val="4DC825F3"/>
    <w:rsid w:val="4DD760BD"/>
    <w:rsid w:val="4DF236EA"/>
    <w:rsid w:val="4E165C91"/>
    <w:rsid w:val="4E1F4929"/>
    <w:rsid w:val="4E424B8A"/>
    <w:rsid w:val="4E4E009B"/>
    <w:rsid w:val="4E5F5E56"/>
    <w:rsid w:val="4E84535B"/>
    <w:rsid w:val="4ED10181"/>
    <w:rsid w:val="4F0D376F"/>
    <w:rsid w:val="4F0E56AD"/>
    <w:rsid w:val="4F12686F"/>
    <w:rsid w:val="4F385CFD"/>
    <w:rsid w:val="4F3C0674"/>
    <w:rsid w:val="4F522024"/>
    <w:rsid w:val="4F5304B8"/>
    <w:rsid w:val="4FA629D8"/>
    <w:rsid w:val="4FB86770"/>
    <w:rsid w:val="4FD84CEE"/>
    <w:rsid w:val="4FE757CC"/>
    <w:rsid w:val="4FF26FAA"/>
    <w:rsid w:val="500A4599"/>
    <w:rsid w:val="50254005"/>
    <w:rsid w:val="50396BE4"/>
    <w:rsid w:val="503B1F35"/>
    <w:rsid w:val="505D273A"/>
    <w:rsid w:val="50690FD4"/>
    <w:rsid w:val="506F51AA"/>
    <w:rsid w:val="508F6AD5"/>
    <w:rsid w:val="509504FF"/>
    <w:rsid w:val="50D159CF"/>
    <w:rsid w:val="50D2526B"/>
    <w:rsid w:val="50D4386F"/>
    <w:rsid w:val="50DA4E66"/>
    <w:rsid w:val="50DC23A1"/>
    <w:rsid w:val="50ED399D"/>
    <w:rsid w:val="50FB6908"/>
    <w:rsid w:val="511D2F55"/>
    <w:rsid w:val="512A074A"/>
    <w:rsid w:val="513843CB"/>
    <w:rsid w:val="51390F51"/>
    <w:rsid w:val="5151097F"/>
    <w:rsid w:val="515D7E75"/>
    <w:rsid w:val="51693561"/>
    <w:rsid w:val="51962E36"/>
    <w:rsid w:val="51B12533"/>
    <w:rsid w:val="51B8126C"/>
    <w:rsid w:val="51C67236"/>
    <w:rsid w:val="51C80558"/>
    <w:rsid w:val="51D20CEB"/>
    <w:rsid w:val="51E869B6"/>
    <w:rsid w:val="51F0073E"/>
    <w:rsid w:val="51FE31E8"/>
    <w:rsid w:val="52097BDA"/>
    <w:rsid w:val="52543BF2"/>
    <w:rsid w:val="527617FB"/>
    <w:rsid w:val="527731B6"/>
    <w:rsid w:val="529945F3"/>
    <w:rsid w:val="52A81851"/>
    <w:rsid w:val="52F50071"/>
    <w:rsid w:val="52F9334F"/>
    <w:rsid w:val="52FD5C93"/>
    <w:rsid w:val="5336272F"/>
    <w:rsid w:val="53492E03"/>
    <w:rsid w:val="535A363E"/>
    <w:rsid w:val="536158DC"/>
    <w:rsid w:val="53615EB9"/>
    <w:rsid w:val="53B83D1C"/>
    <w:rsid w:val="53B91C9B"/>
    <w:rsid w:val="53DD729E"/>
    <w:rsid w:val="540538A0"/>
    <w:rsid w:val="544B7AA1"/>
    <w:rsid w:val="545715FF"/>
    <w:rsid w:val="54580D43"/>
    <w:rsid w:val="54704D3E"/>
    <w:rsid w:val="5477700E"/>
    <w:rsid w:val="547845BD"/>
    <w:rsid w:val="547E24F7"/>
    <w:rsid w:val="54816625"/>
    <w:rsid w:val="548D2569"/>
    <w:rsid w:val="549C6EA2"/>
    <w:rsid w:val="54D643D6"/>
    <w:rsid w:val="54FA3869"/>
    <w:rsid w:val="550B047C"/>
    <w:rsid w:val="552A2A91"/>
    <w:rsid w:val="553665BA"/>
    <w:rsid w:val="558A08B6"/>
    <w:rsid w:val="55994E38"/>
    <w:rsid w:val="55BD41A0"/>
    <w:rsid w:val="55EF0295"/>
    <w:rsid w:val="55F065E0"/>
    <w:rsid w:val="562D6306"/>
    <w:rsid w:val="563B444E"/>
    <w:rsid w:val="56663750"/>
    <w:rsid w:val="56686C5D"/>
    <w:rsid w:val="569F227A"/>
    <w:rsid w:val="56A4487C"/>
    <w:rsid w:val="56B16F1A"/>
    <w:rsid w:val="56C64F99"/>
    <w:rsid w:val="56FD7305"/>
    <w:rsid w:val="57205080"/>
    <w:rsid w:val="572678CD"/>
    <w:rsid w:val="572F638B"/>
    <w:rsid w:val="57367A3C"/>
    <w:rsid w:val="575F1C31"/>
    <w:rsid w:val="576468C0"/>
    <w:rsid w:val="576A306C"/>
    <w:rsid w:val="57930766"/>
    <w:rsid w:val="579C6E83"/>
    <w:rsid w:val="57CC0754"/>
    <w:rsid w:val="57EE78A6"/>
    <w:rsid w:val="57FA0998"/>
    <w:rsid w:val="57FA3F80"/>
    <w:rsid w:val="580A2432"/>
    <w:rsid w:val="580F7BD8"/>
    <w:rsid w:val="58247A65"/>
    <w:rsid w:val="583318C3"/>
    <w:rsid w:val="58505AA0"/>
    <w:rsid w:val="587164AE"/>
    <w:rsid w:val="58D04437"/>
    <w:rsid w:val="58F52D0A"/>
    <w:rsid w:val="58F71F1B"/>
    <w:rsid w:val="59160F10"/>
    <w:rsid w:val="592A3B5C"/>
    <w:rsid w:val="59445FFB"/>
    <w:rsid w:val="599B5205"/>
    <w:rsid w:val="599C59CB"/>
    <w:rsid w:val="59A07935"/>
    <w:rsid w:val="59E178DC"/>
    <w:rsid w:val="59FD61BE"/>
    <w:rsid w:val="5A1A20A2"/>
    <w:rsid w:val="5A1F2953"/>
    <w:rsid w:val="5A207046"/>
    <w:rsid w:val="5A4E2742"/>
    <w:rsid w:val="5A571C9A"/>
    <w:rsid w:val="5A6054F0"/>
    <w:rsid w:val="5A613330"/>
    <w:rsid w:val="5A6B5CA2"/>
    <w:rsid w:val="5A7A0548"/>
    <w:rsid w:val="5A867B76"/>
    <w:rsid w:val="5A8822D0"/>
    <w:rsid w:val="5A8E00D8"/>
    <w:rsid w:val="5A9E52DB"/>
    <w:rsid w:val="5AAE6409"/>
    <w:rsid w:val="5AB0061F"/>
    <w:rsid w:val="5ABD3010"/>
    <w:rsid w:val="5AFE69A4"/>
    <w:rsid w:val="5B2236DF"/>
    <w:rsid w:val="5B2A3C2C"/>
    <w:rsid w:val="5B2C1DE2"/>
    <w:rsid w:val="5B45491F"/>
    <w:rsid w:val="5B6C6EF9"/>
    <w:rsid w:val="5B7B7FF6"/>
    <w:rsid w:val="5BA4607D"/>
    <w:rsid w:val="5BA66ED6"/>
    <w:rsid w:val="5BB24E30"/>
    <w:rsid w:val="5BCC15A5"/>
    <w:rsid w:val="5C0E45B8"/>
    <w:rsid w:val="5C1A7181"/>
    <w:rsid w:val="5C594675"/>
    <w:rsid w:val="5C64067F"/>
    <w:rsid w:val="5C764AF3"/>
    <w:rsid w:val="5C8322CE"/>
    <w:rsid w:val="5CB96432"/>
    <w:rsid w:val="5CE10716"/>
    <w:rsid w:val="5CF6789F"/>
    <w:rsid w:val="5CFD079E"/>
    <w:rsid w:val="5CFD516B"/>
    <w:rsid w:val="5D180368"/>
    <w:rsid w:val="5D1F3440"/>
    <w:rsid w:val="5D395774"/>
    <w:rsid w:val="5D7A2A6C"/>
    <w:rsid w:val="5D7D3AD5"/>
    <w:rsid w:val="5D804310"/>
    <w:rsid w:val="5D891708"/>
    <w:rsid w:val="5D894443"/>
    <w:rsid w:val="5DAD77F7"/>
    <w:rsid w:val="5DD40FB9"/>
    <w:rsid w:val="5DEA5DAB"/>
    <w:rsid w:val="5E0218BE"/>
    <w:rsid w:val="5E7776F2"/>
    <w:rsid w:val="5E7A3D6A"/>
    <w:rsid w:val="5E805F47"/>
    <w:rsid w:val="5E92267A"/>
    <w:rsid w:val="5E9520F6"/>
    <w:rsid w:val="5EAB6A71"/>
    <w:rsid w:val="5ED37DA9"/>
    <w:rsid w:val="5EE0080D"/>
    <w:rsid w:val="5EF34B1B"/>
    <w:rsid w:val="5F2A1A82"/>
    <w:rsid w:val="5F2C56A7"/>
    <w:rsid w:val="5F2E54F5"/>
    <w:rsid w:val="5F5E0257"/>
    <w:rsid w:val="5F6F5098"/>
    <w:rsid w:val="5F6F6D46"/>
    <w:rsid w:val="5F70159D"/>
    <w:rsid w:val="5F783CEF"/>
    <w:rsid w:val="5F9711C9"/>
    <w:rsid w:val="5F980420"/>
    <w:rsid w:val="5FAF2273"/>
    <w:rsid w:val="5FBE21BB"/>
    <w:rsid w:val="5FD74408"/>
    <w:rsid w:val="5FD74636"/>
    <w:rsid w:val="60132B97"/>
    <w:rsid w:val="601639F3"/>
    <w:rsid w:val="60405DD3"/>
    <w:rsid w:val="60544B0B"/>
    <w:rsid w:val="606477D5"/>
    <w:rsid w:val="608C4F78"/>
    <w:rsid w:val="609C6231"/>
    <w:rsid w:val="60C569E0"/>
    <w:rsid w:val="60C73A6A"/>
    <w:rsid w:val="60DE3EE9"/>
    <w:rsid w:val="60FE422E"/>
    <w:rsid w:val="611C414D"/>
    <w:rsid w:val="61222358"/>
    <w:rsid w:val="612C0D06"/>
    <w:rsid w:val="612D5446"/>
    <w:rsid w:val="614578A8"/>
    <w:rsid w:val="614A20C6"/>
    <w:rsid w:val="615076A5"/>
    <w:rsid w:val="61882062"/>
    <w:rsid w:val="619B398C"/>
    <w:rsid w:val="619E0326"/>
    <w:rsid w:val="61D56230"/>
    <w:rsid w:val="61EC03B6"/>
    <w:rsid w:val="62026D8E"/>
    <w:rsid w:val="620349E8"/>
    <w:rsid w:val="62176E15"/>
    <w:rsid w:val="62217016"/>
    <w:rsid w:val="62415F13"/>
    <w:rsid w:val="624353D0"/>
    <w:rsid w:val="62B04814"/>
    <w:rsid w:val="62B3396C"/>
    <w:rsid w:val="62B85149"/>
    <w:rsid w:val="62D34437"/>
    <w:rsid w:val="62E32D11"/>
    <w:rsid w:val="62E9453D"/>
    <w:rsid w:val="62F663B1"/>
    <w:rsid w:val="631B054E"/>
    <w:rsid w:val="632364F7"/>
    <w:rsid w:val="63493A3B"/>
    <w:rsid w:val="63657457"/>
    <w:rsid w:val="63705EE4"/>
    <w:rsid w:val="63865B63"/>
    <w:rsid w:val="63946BE5"/>
    <w:rsid w:val="63A54E8F"/>
    <w:rsid w:val="63B704EB"/>
    <w:rsid w:val="63B80488"/>
    <w:rsid w:val="63B82BD6"/>
    <w:rsid w:val="63D157BD"/>
    <w:rsid w:val="63DB642E"/>
    <w:rsid w:val="64123EF7"/>
    <w:rsid w:val="64212FB8"/>
    <w:rsid w:val="64287B44"/>
    <w:rsid w:val="645C7076"/>
    <w:rsid w:val="648D3011"/>
    <w:rsid w:val="64CC697A"/>
    <w:rsid w:val="64E41A2C"/>
    <w:rsid w:val="65095900"/>
    <w:rsid w:val="651C584F"/>
    <w:rsid w:val="656A4A27"/>
    <w:rsid w:val="65770616"/>
    <w:rsid w:val="65DA79CE"/>
    <w:rsid w:val="65E240E2"/>
    <w:rsid w:val="661E26D4"/>
    <w:rsid w:val="66375400"/>
    <w:rsid w:val="66384B54"/>
    <w:rsid w:val="6645358D"/>
    <w:rsid w:val="665054B9"/>
    <w:rsid w:val="66663835"/>
    <w:rsid w:val="66741497"/>
    <w:rsid w:val="667D3C73"/>
    <w:rsid w:val="66BD15C8"/>
    <w:rsid w:val="66C46A8B"/>
    <w:rsid w:val="66D23AF1"/>
    <w:rsid w:val="66ED4512"/>
    <w:rsid w:val="66F43B0D"/>
    <w:rsid w:val="67286F90"/>
    <w:rsid w:val="672C3ED1"/>
    <w:rsid w:val="672D38C4"/>
    <w:rsid w:val="673C141A"/>
    <w:rsid w:val="67603C37"/>
    <w:rsid w:val="676278C6"/>
    <w:rsid w:val="679840B3"/>
    <w:rsid w:val="679F55BE"/>
    <w:rsid w:val="67C91E3B"/>
    <w:rsid w:val="67CA1E3C"/>
    <w:rsid w:val="67D13ECE"/>
    <w:rsid w:val="67DE74D8"/>
    <w:rsid w:val="67DF2CE4"/>
    <w:rsid w:val="680C1530"/>
    <w:rsid w:val="680F0B96"/>
    <w:rsid w:val="68125155"/>
    <w:rsid w:val="68335974"/>
    <w:rsid w:val="68434BD3"/>
    <w:rsid w:val="68554C01"/>
    <w:rsid w:val="68621AB0"/>
    <w:rsid w:val="6882720D"/>
    <w:rsid w:val="689C3C8E"/>
    <w:rsid w:val="68AD623F"/>
    <w:rsid w:val="68B36EA7"/>
    <w:rsid w:val="68B8133F"/>
    <w:rsid w:val="68B834D5"/>
    <w:rsid w:val="68E16EE7"/>
    <w:rsid w:val="68E36403"/>
    <w:rsid w:val="69296C69"/>
    <w:rsid w:val="69432E44"/>
    <w:rsid w:val="694A7DAE"/>
    <w:rsid w:val="694D7112"/>
    <w:rsid w:val="696026F4"/>
    <w:rsid w:val="69660CFF"/>
    <w:rsid w:val="699405D2"/>
    <w:rsid w:val="699B7686"/>
    <w:rsid w:val="699F1FB4"/>
    <w:rsid w:val="69AE187A"/>
    <w:rsid w:val="69B51521"/>
    <w:rsid w:val="69BC2760"/>
    <w:rsid w:val="69C1232D"/>
    <w:rsid w:val="69FD3DDE"/>
    <w:rsid w:val="6A072FB3"/>
    <w:rsid w:val="6A1F7B98"/>
    <w:rsid w:val="6A2C4F8D"/>
    <w:rsid w:val="6A5A6175"/>
    <w:rsid w:val="6A5E2ACD"/>
    <w:rsid w:val="6A5E5CF5"/>
    <w:rsid w:val="6A6F64FC"/>
    <w:rsid w:val="6A7768AA"/>
    <w:rsid w:val="6AB55301"/>
    <w:rsid w:val="6AD13312"/>
    <w:rsid w:val="6AE60269"/>
    <w:rsid w:val="6AEF321D"/>
    <w:rsid w:val="6AFE1FFE"/>
    <w:rsid w:val="6B0D4801"/>
    <w:rsid w:val="6B22052D"/>
    <w:rsid w:val="6B281C86"/>
    <w:rsid w:val="6B3A5479"/>
    <w:rsid w:val="6B5C4784"/>
    <w:rsid w:val="6B994ABC"/>
    <w:rsid w:val="6BE76F4A"/>
    <w:rsid w:val="6C117219"/>
    <w:rsid w:val="6C1F0FDF"/>
    <w:rsid w:val="6C25133A"/>
    <w:rsid w:val="6C2D1CA9"/>
    <w:rsid w:val="6C534EFC"/>
    <w:rsid w:val="6C6B1280"/>
    <w:rsid w:val="6CA50658"/>
    <w:rsid w:val="6CA6383E"/>
    <w:rsid w:val="6CBA5696"/>
    <w:rsid w:val="6CCB014D"/>
    <w:rsid w:val="6CD6113F"/>
    <w:rsid w:val="6CD62904"/>
    <w:rsid w:val="6CDB75D2"/>
    <w:rsid w:val="6D0314F6"/>
    <w:rsid w:val="6D09531E"/>
    <w:rsid w:val="6D4F4C44"/>
    <w:rsid w:val="6D7A69FA"/>
    <w:rsid w:val="6D940B9B"/>
    <w:rsid w:val="6DA4374C"/>
    <w:rsid w:val="6DBA7D61"/>
    <w:rsid w:val="6DE1406C"/>
    <w:rsid w:val="6DE65D9E"/>
    <w:rsid w:val="6E1E3159"/>
    <w:rsid w:val="6E2655DB"/>
    <w:rsid w:val="6E480C0F"/>
    <w:rsid w:val="6E55004E"/>
    <w:rsid w:val="6E5E45A6"/>
    <w:rsid w:val="6E877E5C"/>
    <w:rsid w:val="6E983E54"/>
    <w:rsid w:val="6E9D1C94"/>
    <w:rsid w:val="6EA371D5"/>
    <w:rsid w:val="6EB73836"/>
    <w:rsid w:val="6EB91804"/>
    <w:rsid w:val="6EBE17C9"/>
    <w:rsid w:val="6EC50CEE"/>
    <w:rsid w:val="6EC7132D"/>
    <w:rsid w:val="6ED20EAC"/>
    <w:rsid w:val="6EEB62D3"/>
    <w:rsid w:val="6EEE5A98"/>
    <w:rsid w:val="6EF25287"/>
    <w:rsid w:val="6EF54E4F"/>
    <w:rsid w:val="6EFF09D8"/>
    <w:rsid w:val="6F033B80"/>
    <w:rsid w:val="6F5A4B86"/>
    <w:rsid w:val="6F601198"/>
    <w:rsid w:val="6F755A08"/>
    <w:rsid w:val="6F765B10"/>
    <w:rsid w:val="6F78191E"/>
    <w:rsid w:val="6F7E05CC"/>
    <w:rsid w:val="6F9059B3"/>
    <w:rsid w:val="6FD647B3"/>
    <w:rsid w:val="6FDA3AE4"/>
    <w:rsid w:val="703B2B60"/>
    <w:rsid w:val="703B405D"/>
    <w:rsid w:val="703D4103"/>
    <w:rsid w:val="704A15B6"/>
    <w:rsid w:val="7052752C"/>
    <w:rsid w:val="70580138"/>
    <w:rsid w:val="705916DB"/>
    <w:rsid w:val="70967B37"/>
    <w:rsid w:val="70A23C24"/>
    <w:rsid w:val="70D46E61"/>
    <w:rsid w:val="70F66413"/>
    <w:rsid w:val="710D6F28"/>
    <w:rsid w:val="71254F3C"/>
    <w:rsid w:val="712B26E4"/>
    <w:rsid w:val="712E2562"/>
    <w:rsid w:val="714959BE"/>
    <w:rsid w:val="716338AD"/>
    <w:rsid w:val="717C7364"/>
    <w:rsid w:val="71C4496C"/>
    <w:rsid w:val="71CF6C3F"/>
    <w:rsid w:val="720C66EB"/>
    <w:rsid w:val="72111A62"/>
    <w:rsid w:val="721B53AF"/>
    <w:rsid w:val="722E79AC"/>
    <w:rsid w:val="723117D3"/>
    <w:rsid w:val="72403507"/>
    <w:rsid w:val="724F1D03"/>
    <w:rsid w:val="72576C1C"/>
    <w:rsid w:val="726E3862"/>
    <w:rsid w:val="726E3B34"/>
    <w:rsid w:val="728370E4"/>
    <w:rsid w:val="72B216D1"/>
    <w:rsid w:val="72B44AE1"/>
    <w:rsid w:val="72BE5FEF"/>
    <w:rsid w:val="72D82E66"/>
    <w:rsid w:val="731024B7"/>
    <w:rsid w:val="73150D81"/>
    <w:rsid w:val="73183917"/>
    <w:rsid w:val="73192B93"/>
    <w:rsid w:val="7322464C"/>
    <w:rsid w:val="73552B3C"/>
    <w:rsid w:val="73594D90"/>
    <w:rsid w:val="736110E4"/>
    <w:rsid w:val="73944BC4"/>
    <w:rsid w:val="73AE4AD2"/>
    <w:rsid w:val="73BB3A88"/>
    <w:rsid w:val="73C946AC"/>
    <w:rsid w:val="73DF097F"/>
    <w:rsid w:val="73EE777C"/>
    <w:rsid w:val="73EF0A14"/>
    <w:rsid w:val="740D7C2D"/>
    <w:rsid w:val="741C6C52"/>
    <w:rsid w:val="741D21B4"/>
    <w:rsid w:val="741D4A6C"/>
    <w:rsid w:val="741E0EBE"/>
    <w:rsid w:val="745219BF"/>
    <w:rsid w:val="746B65DB"/>
    <w:rsid w:val="74727C48"/>
    <w:rsid w:val="74A15BE2"/>
    <w:rsid w:val="74AF0C98"/>
    <w:rsid w:val="74B56ED8"/>
    <w:rsid w:val="750F77BF"/>
    <w:rsid w:val="753124B8"/>
    <w:rsid w:val="756A2F75"/>
    <w:rsid w:val="756B1A5F"/>
    <w:rsid w:val="75983416"/>
    <w:rsid w:val="75AE44E2"/>
    <w:rsid w:val="75C04F01"/>
    <w:rsid w:val="75E3761F"/>
    <w:rsid w:val="75EB7536"/>
    <w:rsid w:val="76182570"/>
    <w:rsid w:val="761F4D9F"/>
    <w:rsid w:val="762F7A4B"/>
    <w:rsid w:val="763123F3"/>
    <w:rsid w:val="764D69C0"/>
    <w:rsid w:val="76725C82"/>
    <w:rsid w:val="7673275E"/>
    <w:rsid w:val="767E1482"/>
    <w:rsid w:val="76A10AF1"/>
    <w:rsid w:val="76B17617"/>
    <w:rsid w:val="76CA1FE8"/>
    <w:rsid w:val="76D0725C"/>
    <w:rsid w:val="76DC1E73"/>
    <w:rsid w:val="76DD0D35"/>
    <w:rsid w:val="770B710C"/>
    <w:rsid w:val="772A35AB"/>
    <w:rsid w:val="773A0375"/>
    <w:rsid w:val="7755450E"/>
    <w:rsid w:val="77563A0E"/>
    <w:rsid w:val="776F7D5E"/>
    <w:rsid w:val="77735C8E"/>
    <w:rsid w:val="777B3319"/>
    <w:rsid w:val="777D52CB"/>
    <w:rsid w:val="77934905"/>
    <w:rsid w:val="77BF32B4"/>
    <w:rsid w:val="77BF7342"/>
    <w:rsid w:val="77E8419F"/>
    <w:rsid w:val="78190B7C"/>
    <w:rsid w:val="78203758"/>
    <w:rsid w:val="783B0045"/>
    <w:rsid w:val="784D3535"/>
    <w:rsid w:val="786747E8"/>
    <w:rsid w:val="787865C8"/>
    <w:rsid w:val="789E7914"/>
    <w:rsid w:val="78AB51E6"/>
    <w:rsid w:val="78C61C55"/>
    <w:rsid w:val="791E2AFF"/>
    <w:rsid w:val="793E31D3"/>
    <w:rsid w:val="7943612D"/>
    <w:rsid w:val="794B1788"/>
    <w:rsid w:val="794F7BE1"/>
    <w:rsid w:val="79580B3A"/>
    <w:rsid w:val="797944B4"/>
    <w:rsid w:val="79844677"/>
    <w:rsid w:val="79931F3E"/>
    <w:rsid w:val="79AC0CB9"/>
    <w:rsid w:val="79D926C9"/>
    <w:rsid w:val="79EF00E1"/>
    <w:rsid w:val="79F14388"/>
    <w:rsid w:val="79F95EAA"/>
    <w:rsid w:val="7A0926AE"/>
    <w:rsid w:val="7A140FF7"/>
    <w:rsid w:val="7A2379DE"/>
    <w:rsid w:val="7A25723D"/>
    <w:rsid w:val="7A3C5567"/>
    <w:rsid w:val="7A4764EC"/>
    <w:rsid w:val="7A49489A"/>
    <w:rsid w:val="7A7351A0"/>
    <w:rsid w:val="7A964A66"/>
    <w:rsid w:val="7AA61A9B"/>
    <w:rsid w:val="7ABE7B0C"/>
    <w:rsid w:val="7ACB4378"/>
    <w:rsid w:val="7ADB77CA"/>
    <w:rsid w:val="7B191AEC"/>
    <w:rsid w:val="7B251B83"/>
    <w:rsid w:val="7B315E07"/>
    <w:rsid w:val="7B4265C2"/>
    <w:rsid w:val="7B4C2384"/>
    <w:rsid w:val="7B4F1078"/>
    <w:rsid w:val="7B527109"/>
    <w:rsid w:val="7B760DF8"/>
    <w:rsid w:val="7B7F4166"/>
    <w:rsid w:val="7B892FE4"/>
    <w:rsid w:val="7B987FFB"/>
    <w:rsid w:val="7BC02DE0"/>
    <w:rsid w:val="7BDD2CE7"/>
    <w:rsid w:val="7BEE4BEC"/>
    <w:rsid w:val="7BF3730E"/>
    <w:rsid w:val="7BFD070B"/>
    <w:rsid w:val="7C2132D8"/>
    <w:rsid w:val="7C2C276B"/>
    <w:rsid w:val="7C39281F"/>
    <w:rsid w:val="7CB206B5"/>
    <w:rsid w:val="7CBD0CBF"/>
    <w:rsid w:val="7CD5795F"/>
    <w:rsid w:val="7CD645AD"/>
    <w:rsid w:val="7CDE43EF"/>
    <w:rsid w:val="7CDE743A"/>
    <w:rsid w:val="7CE44E03"/>
    <w:rsid w:val="7D022D90"/>
    <w:rsid w:val="7D1D2896"/>
    <w:rsid w:val="7D285992"/>
    <w:rsid w:val="7D2C6309"/>
    <w:rsid w:val="7D4830C0"/>
    <w:rsid w:val="7D4C03F2"/>
    <w:rsid w:val="7D677F21"/>
    <w:rsid w:val="7D75713F"/>
    <w:rsid w:val="7D7D5F25"/>
    <w:rsid w:val="7D7E1E8C"/>
    <w:rsid w:val="7D8E6727"/>
    <w:rsid w:val="7DD02036"/>
    <w:rsid w:val="7DF66283"/>
    <w:rsid w:val="7E197309"/>
    <w:rsid w:val="7E1F0597"/>
    <w:rsid w:val="7E973CF3"/>
    <w:rsid w:val="7EB21F2B"/>
    <w:rsid w:val="7F1042BC"/>
    <w:rsid w:val="7F2E3959"/>
    <w:rsid w:val="7F5100D8"/>
    <w:rsid w:val="7F570F88"/>
    <w:rsid w:val="7F622AC0"/>
    <w:rsid w:val="7F905D8E"/>
    <w:rsid w:val="7FB149F4"/>
    <w:rsid w:val="7FD20E04"/>
    <w:rsid w:val="7FD87726"/>
    <w:rsid w:val="7FDB581B"/>
    <w:rsid w:val="7FFD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1"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6"/>
    <w:qFormat/>
    <w:uiPriority w:val="9"/>
    <w:pPr>
      <w:keepNext/>
      <w:keepLines/>
      <w:spacing w:before="340" w:after="330" w:line="578" w:lineRule="auto"/>
      <w:outlineLvl w:val="0"/>
    </w:pPr>
    <w:rPr>
      <w:b/>
      <w:bCs/>
      <w:kern w:val="44"/>
      <w:sz w:val="44"/>
      <w:szCs w:val="4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7"/>
    <w:unhideWhenUsed/>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1"/>
    <w:pPr>
      <w:ind w:left="1680"/>
    </w:pPr>
    <w:rPr>
      <w:sz w:val="32"/>
      <w:szCs w:val="22"/>
    </w:rPr>
  </w:style>
  <w:style w:type="paragraph" w:styleId="5">
    <w:name w:val="toc 7"/>
    <w:basedOn w:val="1"/>
    <w:next w:val="1"/>
    <w:unhideWhenUsed/>
    <w:qFormat/>
    <w:uiPriority w:val="39"/>
    <w:pPr>
      <w:ind w:left="1260"/>
      <w:jc w:val="left"/>
    </w:pPr>
    <w:rPr>
      <w:rFonts w:asciiTheme="minorHAnsi" w:eastAsiaTheme="minorHAnsi"/>
      <w:sz w:val="18"/>
      <w:szCs w:val="18"/>
    </w:rPr>
  </w:style>
  <w:style w:type="paragraph" w:styleId="6">
    <w:name w:val="annotation text"/>
    <w:basedOn w:val="1"/>
    <w:link w:val="31"/>
    <w:semiHidden/>
    <w:unhideWhenUsed/>
    <w:qFormat/>
    <w:uiPriority w:val="99"/>
    <w:pPr>
      <w:jc w:val="left"/>
    </w:pPr>
  </w:style>
  <w:style w:type="paragraph" w:styleId="7">
    <w:name w:val="toc 5"/>
    <w:basedOn w:val="1"/>
    <w:next w:val="1"/>
    <w:unhideWhenUsed/>
    <w:qFormat/>
    <w:uiPriority w:val="39"/>
    <w:pPr>
      <w:ind w:left="840"/>
      <w:jc w:val="left"/>
    </w:pPr>
    <w:rPr>
      <w:rFonts w:asciiTheme="minorHAnsi" w:eastAsiaTheme="minorHAnsi"/>
      <w:sz w:val="18"/>
      <w:szCs w:val="18"/>
    </w:rPr>
  </w:style>
  <w:style w:type="paragraph" w:styleId="8">
    <w:name w:val="toc 3"/>
    <w:basedOn w:val="1"/>
    <w:next w:val="1"/>
    <w:unhideWhenUsed/>
    <w:qFormat/>
    <w:uiPriority w:val="39"/>
    <w:pPr>
      <w:ind w:left="420"/>
      <w:jc w:val="left"/>
    </w:pPr>
    <w:rPr>
      <w:rFonts w:asciiTheme="minorHAnsi" w:eastAsiaTheme="minorHAnsi"/>
      <w:i/>
      <w:iCs/>
      <w:sz w:val="20"/>
    </w:rPr>
  </w:style>
  <w:style w:type="paragraph" w:styleId="9">
    <w:name w:val="toc 8"/>
    <w:basedOn w:val="1"/>
    <w:next w:val="1"/>
    <w:unhideWhenUsed/>
    <w:qFormat/>
    <w:uiPriority w:val="39"/>
    <w:pPr>
      <w:ind w:left="1470"/>
      <w:jc w:val="left"/>
    </w:pPr>
    <w:rPr>
      <w:rFonts w:asciiTheme="minorHAnsi" w:eastAsiaTheme="minorHAnsi"/>
      <w:sz w:val="18"/>
      <w:szCs w:val="18"/>
    </w:rPr>
  </w:style>
  <w:style w:type="paragraph" w:styleId="10">
    <w:name w:val="Balloon Text"/>
    <w:basedOn w:val="1"/>
    <w:link w:val="30"/>
    <w:semiHidden/>
    <w:unhideWhenUsed/>
    <w:qFormat/>
    <w:uiPriority w:val="99"/>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jc w:val="left"/>
    </w:pPr>
    <w:rPr>
      <w:rFonts w:asciiTheme="minorHAnsi" w:eastAsiaTheme="minorHAnsi"/>
      <w:b/>
      <w:bCs/>
      <w:caps/>
      <w:sz w:val="20"/>
    </w:rPr>
  </w:style>
  <w:style w:type="paragraph" w:styleId="13">
    <w:name w:val="toc 4"/>
    <w:basedOn w:val="1"/>
    <w:next w:val="1"/>
    <w:unhideWhenUsed/>
    <w:qFormat/>
    <w:uiPriority w:val="39"/>
    <w:pPr>
      <w:ind w:left="630"/>
      <w:jc w:val="left"/>
    </w:pPr>
    <w:rPr>
      <w:rFonts w:asciiTheme="minorHAnsi" w:eastAsiaTheme="minorHAnsi"/>
      <w:sz w:val="18"/>
      <w:szCs w:val="18"/>
    </w:rPr>
  </w:style>
  <w:style w:type="paragraph" w:styleId="14">
    <w:name w:val="toc 6"/>
    <w:basedOn w:val="1"/>
    <w:next w:val="1"/>
    <w:unhideWhenUsed/>
    <w:qFormat/>
    <w:uiPriority w:val="39"/>
    <w:pPr>
      <w:ind w:left="1050"/>
      <w:jc w:val="left"/>
    </w:pPr>
    <w:rPr>
      <w:rFonts w:asciiTheme="minorHAnsi" w:eastAsiaTheme="minorHAnsi"/>
      <w:sz w:val="18"/>
      <w:szCs w:val="18"/>
    </w:rPr>
  </w:style>
  <w:style w:type="paragraph" w:styleId="15">
    <w:name w:val="toc 2"/>
    <w:basedOn w:val="1"/>
    <w:next w:val="1"/>
    <w:unhideWhenUsed/>
    <w:qFormat/>
    <w:uiPriority w:val="39"/>
    <w:pPr>
      <w:ind w:left="210"/>
      <w:jc w:val="left"/>
    </w:pPr>
    <w:rPr>
      <w:rFonts w:asciiTheme="minorHAnsi" w:eastAsiaTheme="minorHAnsi"/>
      <w:smallCaps/>
      <w:sz w:val="20"/>
    </w:rPr>
  </w:style>
  <w:style w:type="paragraph" w:styleId="16">
    <w:name w:val="toc 9"/>
    <w:basedOn w:val="1"/>
    <w:next w:val="1"/>
    <w:unhideWhenUsed/>
    <w:qFormat/>
    <w:uiPriority w:val="39"/>
    <w:pPr>
      <w:ind w:left="1680"/>
      <w:jc w:val="left"/>
    </w:pPr>
    <w:rPr>
      <w:rFonts w:asciiTheme="minorHAnsi" w:eastAsiaTheme="minorHAnsi"/>
      <w:sz w:val="18"/>
      <w:szCs w:val="18"/>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6"/>
    <w:next w:val="6"/>
    <w:link w:val="32"/>
    <w:semiHidden/>
    <w:unhideWhenUsed/>
    <w:qFormat/>
    <w:uiPriority w:val="99"/>
    <w:rPr>
      <w:b/>
      <w:bCs/>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styleId="25">
    <w:name w:val="annotation reference"/>
    <w:basedOn w:val="20"/>
    <w:semiHidden/>
    <w:unhideWhenUsed/>
    <w:qFormat/>
    <w:uiPriority w:val="99"/>
    <w:rPr>
      <w:sz w:val="21"/>
      <w:szCs w:val="21"/>
    </w:rPr>
  </w:style>
  <w:style w:type="character" w:customStyle="1" w:styleId="26">
    <w:name w:val="页眉 字符"/>
    <w:basedOn w:val="20"/>
    <w:link w:val="11"/>
    <w:qFormat/>
    <w:uiPriority w:val="99"/>
    <w:rPr>
      <w:rFonts w:ascii="Times New Roman" w:hAnsi="Times New Roman" w:eastAsia="宋体" w:cs="Times New Roman"/>
      <w:sz w:val="18"/>
      <w:szCs w:val="18"/>
    </w:rPr>
  </w:style>
  <w:style w:type="character" w:customStyle="1" w:styleId="27">
    <w:name w:val="页脚 字符"/>
    <w:basedOn w:val="20"/>
    <w:link w:val="2"/>
    <w:qFormat/>
    <w:uiPriority w:val="99"/>
    <w:rPr>
      <w:rFonts w:ascii="Times New Roman" w:hAnsi="Times New Roman" w:eastAsia="宋体" w:cs="Times New Roman"/>
      <w:sz w:val="18"/>
      <w:szCs w:val="18"/>
    </w:rPr>
  </w:style>
  <w:style w:type="paragraph" w:styleId="28">
    <w:name w:val="List Paragraph"/>
    <w:basedOn w:val="1"/>
    <w:qFormat/>
    <w:uiPriority w:val="34"/>
    <w:pPr>
      <w:ind w:firstLine="420" w:firstLineChars="200"/>
    </w:pPr>
  </w:style>
  <w:style w:type="paragraph" w:customStyle="1" w:styleId="29">
    <w:name w:val="Char"/>
    <w:basedOn w:val="1"/>
    <w:qFormat/>
    <w:uiPriority w:val="0"/>
  </w:style>
  <w:style w:type="character" w:customStyle="1" w:styleId="30">
    <w:name w:val="批注框文本 字符"/>
    <w:basedOn w:val="20"/>
    <w:link w:val="10"/>
    <w:semiHidden/>
    <w:qFormat/>
    <w:uiPriority w:val="99"/>
    <w:rPr>
      <w:kern w:val="2"/>
      <w:sz w:val="18"/>
      <w:szCs w:val="18"/>
    </w:rPr>
  </w:style>
  <w:style w:type="character" w:customStyle="1" w:styleId="31">
    <w:name w:val="批注文字 字符"/>
    <w:basedOn w:val="20"/>
    <w:link w:val="6"/>
    <w:semiHidden/>
    <w:qFormat/>
    <w:uiPriority w:val="99"/>
    <w:rPr>
      <w:kern w:val="2"/>
      <w:sz w:val="21"/>
    </w:rPr>
  </w:style>
  <w:style w:type="character" w:customStyle="1" w:styleId="32">
    <w:name w:val="批注主题 字符"/>
    <w:basedOn w:val="31"/>
    <w:link w:val="18"/>
    <w:semiHidden/>
    <w:qFormat/>
    <w:uiPriority w:val="99"/>
    <w:rPr>
      <w:b/>
      <w:bCs/>
      <w:kern w:val="2"/>
      <w:sz w:val="21"/>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6">
    <w:name w:val="标题 1 字符"/>
    <w:basedOn w:val="20"/>
    <w:link w:val="4"/>
    <w:qFormat/>
    <w:uiPriority w:val="9"/>
    <w:rPr>
      <w:b/>
      <w:bCs/>
      <w:kern w:val="44"/>
      <w:sz w:val="44"/>
      <w:szCs w:val="44"/>
    </w:rPr>
  </w:style>
  <w:style w:type="paragraph" w:customStyle="1" w:styleId="37">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8">
    <w:name w:val="Char1"/>
    <w:basedOn w:val="1"/>
    <w:qFormat/>
    <w:uiPriority w:val="0"/>
  </w:style>
  <w:style w:type="character" w:customStyle="1" w:styleId="39">
    <w:name w:val="bsharetext"/>
    <w:basedOn w:val="20"/>
    <w:qFormat/>
    <w:uiPriority w:val="0"/>
  </w:style>
  <w:style w:type="character" w:customStyle="1" w:styleId="40">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03DDD-88C5-4B8E-9C3E-7D9C76681352}">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20376</Words>
  <Characters>22060</Characters>
  <Lines>193</Lines>
  <Paragraphs>54</Paragraphs>
  <TotalTime>13</TotalTime>
  <ScaleCrop>false</ScaleCrop>
  <LinksUpToDate>false</LinksUpToDate>
  <CharactersWithSpaces>22318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2021-10-25T16:03:00Z</dcterms:created>
  <dc:creator>yxm</dc:creator>
  <cp:lastModifiedBy>张静:返回申请人</cp:lastModifiedBy>
  <cp:lastPrinted>2021-10-25T16:05:00Z</cp:lastPrinted>
  <dcterms:modified xsi:type="dcterms:W3CDTF">2021-11-22T01:15:01Z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201095EF5149487E98A376B632A89226</vt:lpwstr>
  </property>
</Properties>
</file>